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0945D">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w w:val="100"/>
          <w:kern w:val="0"/>
          <w:sz w:val="44"/>
          <w:szCs w:val="44"/>
        </w:rPr>
      </w:pPr>
      <w:r>
        <w:rPr>
          <w:rFonts w:hint="default" w:ascii="Times New Roman" w:hAnsi="Times New Roman" w:eastAsia="方正小标宋简体" w:cs="Times New Roman"/>
          <w:bCs/>
          <w:w w:val="100"/>
          <w:kern w:val="0"/>
          <w:sz w:val="44"/>
          <w:szCs w:val="44"/>
        </w:rPr>
        <w:t>湖州学院本科教学工作合格评估自评报告撰写与支撑材料收集工作方案</w:t>
      </w:r>
    </w:p>
    <w:p w14:paraId="3EC4A50A">
      <w:pPr>
        <w:widowControl/>
        <w:spacing w:line="560" w:lineRule="exact"/>
        <w:ind w:firstLine="640" w:firstLineChars="200"/>
        <w:jc w:val="left"/>
        <w:rPr>
          <w:rFonts w:hint="default" w:ascii="Times New Roman" w:hAnsi="Times New Roman" w:eastAsia="仿宋_GB2312" w:cs="Times New Roman"/>
          <w:kern w:val="2"/>
          <w:sz w:val="32"/>
          <w:szCs w:val="32"/>
          <w:lang w:val="en-US" w:eastAsia="zh-CN"/>
        </w:rPr>
      </w:pPr>
    </w:p>
    <w:p w14:paraId="39E47316">
      <w:pPr>
        <w:widowControl/>
        <w:spacing w:line="560" w:lineRule="exact"/>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2"/>
          <w:sz w:val="32"/>
          <w:szCs w:val="32"/>
          <w:lang w:val="en-US" w:eastAsia="zh-CN"/>
        </w:rPr>
        <w:t>根据《湖州学院迎接教育部本科教学工作合格评估实施方案》（以下简称《合格评估实施方案》）（湖院党发〔2025〕15号）</w:t>
      </w:r>
      <w:r>
        <w:rPr>
          <w:rFonts w:hint="default" w:ascii="Times New Roman" w:hAnsi="Times New Roman" w:eastAsia="仿宋_GB2312" w:cs="Times New Roman"/>
          <w:kern w:val="0"/>
          <w:sz w:val="32"/>
          <w:szCs w:val="32"/>
        </w:rPr>
        <w:t>要求，</w:t>
      </w:r>
      <w:r>
        <w:rPr>
          <w:rFonts w:hint="default" w:ascii="Times New Roman" w:hAnsi="Times New Roman" w:eastAsia="仿宋_GB2312" w:cs="Times New Roman"/>
          <w:kern w:val="0"/>
          <w:sz w:val="32"/>
          <w:szCs w:val="32"/>
          <w:lang w:val="en-US" w:eastAsia="zh-CN"/>
        </w:rPr>
        <w:t>结合上级相关文件精神，</w:t>
      </w:r>
      <w:r>
        <w:rPr>
          <w:rFonts w:hint="default" w:ascii="Times New Roman" w:hAnsi="Times New Roman" w:eastAsia="仿宋_GB2312" w:cs="Times New Roman"/>
          <w:kern w:val="0"/>
          <w:sz w:val="32"/>
          <w:szCs w:val="32"/>
        </w:rPr>
        <w:t>为做好</w:t>
      </w:r>
      <w:r>
        <w:rPr>
          <w:rFonts w:hint="default" w:ascii="Times New Roman" w:hAnsi="Times New Roman" w:eastAsia="仿宋_GB2312" w:cs="Times New Roman"/>
          <w:kern w:val="0"/>
          <w:sz w:val="32"/>
          <w:szCs w:val="32"/>
          <w:lang w:val="en-US" w:eastAsia="zh-CN"/>
        </w:rPr>
        <w:t>学校合格</w:t>
      </w:r>
      <w:r>
        <w:rPr>
          <w:rFonts w:hint="default" w:ascii="Times New Roman" w:hAnsi="Times New Roman" w:eastAsia="仿宋_GB2312" w:cs="Times New Roman"/>
          <w:kern w:val="0"/>
          <w:sz w:val="32"/>
          <w:szCs w:val="32"/>
        </w:rPr>
        <w:t>评估自评报告撰写与支撑材料收集</w:t>
      </w:r>
      <w:r>
        <w:rPr>
          <w:rFonts w:hint="default" w:ascii="Times New Roman" w:hAnsi="Times New Roman" w:eastAsia="仿宋_GB2312" w:cs="Times New Roman"/>
          <w:kern w:val="0"/>
          <w:sz w:val="32"/>
          <w:szCs w:val="32"/>
          <w:lang w:val="en-US" w:eastAsia="zh-CN"/>
        </w:rPr>
        <w:t>工作</w:t>
      </w:r>
      <w:r>
        <w:rPr>
          <w:rFonts w:hint="default" w:ascii="Times New Roman" w:hAnsi="Times New Roman" w:eastAsia="仿宋_GB2312" w:cs="Times New Roman"/>
          <w:kern w:val="0"/>
          <w:sz w:val="32"/>
          <w:szCs w:val="32"/>
        </w:rPr>
        <w:t>，现将有关事项通知如下。</w:t>
      </w:r>
    </w:p>
    <w:p w14:paraId="2E797F00">
      <w:pPr>
        <w:widowControl/>
        <w:numPr>
          <w:ilvl w:val="0"/>
          <w:numId w:val="1"/>
        </w:numPr>
        <w:spacing w:line="560" w:lineRule="exact"/>
        <w:ind w:firstLine="643" w:firstLineChars="200"/>
        <w:jc w:val="left"/>
        <w:rPr>
          <w:rFonts w:hint="eastAsia" w:ascii="黑体" w:hAnsi="黑体" w:eastAsia="黑体" w:cs="黑体"/>
          <w:b/>
          <w:kern w:val="0"/>
          <w:sz w:val="32"/>
          <w:szCs w:val="32"/>
          <w:lang w:val="en-US" w:eastAsia="zh-CN"/>
        </w:rPr>
      </w:pPr>
      <w:r>
        <w:rPr>
          <w:rFonts w:hint="eastAsia" w:ascii="黑体" w:hAnsi="黑体" w:eastAsia="黑体" w:cs="黑体"/>
          <w:b/>
          <w:kern w:val="0"/>
          <w:sz w:val="32"/>
          <w:szCs w:val="32"/>
          <w:lang w:val="en-US" w:eastAsia="zh-CN"/>
        </w:rPr>
        <w:t>总体要求</w:t>
      </w:r>
    </w:p>
    <w:p w14:paraId="5CE47132">
      <w:pPr>
        <w:widowControl/>
        <w:spacing w:line="560" w:lineRule="exact"/>
        <w:ind w:firstLine="640" w:firstLineChars="200"/>
        <w:jc w:val="left"/>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学校在自评和</w:t>
      </w:r>
      <w:r>
        <w:rPr>
          <w:rFonts w:hint="eastAsia" w:ascii="Times New Roman" w:hAnsi="Times New Roman" w:eastAsia="仿宋_GB2312" w:cs="Times New Roman"/>
          <w:kern w:val="2"/>
          <w:sz w:val="32"/>
          <w:szCs w:val="32"/>
          <w:lang w:val="en-US" w:eastAsia="zh-CN"/>
        </w:rPr>
        <w:t>高等教育</w:t>
      </w:r>
      <w:r>
        <w:rPr>
          <w:rFonts w:hint="default" w:ascii="Times New Roman" w:hAnsi="Times New Roman" w:eastAsia="仿宋_GB2312" w:cs="Times New Roman"/>
          <w:kern w:val="2"/>
          <w:sz w:val="32"/>
          <w:szCs w:val="32"/>
          <w:lang w:val="en-US" w:eastAsia="zh-CN"/>
        </w:rPr>
        <w:t>质量监测数据分析的基础上撰写自评报告。自评报告主要内容包括学校概况、本科教学工作状况和主要成效、存在的问题及改进措施等三大部分。自评报告应全面、真实地反映学校情况，总结教学工作成绩，准确、具体、深入地剖析问题。自评报告总字数控制在4万字以内，其中问题分析与改进措施不少于整个篇幅的1/3。自评报告与</w:t>
      </w:r>
      <w:r>
        <w:rPr>
          <w:rFonts w:hint="eastAsia" w:ascii="Times New Roman" w:hAnsi="Times New Roman" w:eastAsia="仿宋_GB2312" w:cs="Times New Roman"/>
          <w:kern w:val="2"/>
          <w:sz w:val="32"/>
          <w:szCs w:val="32"/>
          <w:lang w:val="en-US" w:eastAsia="zh-CN"/>
        </w:rPr>
        <w:t>高等教育</w:t>
      </w:r>
      <w:r>
        <w:rPr>
          <w:rFonts w:hint="default" w:ascii="Times New Roman" w:hAnsi="Times New Roman" w:eastAsia="仿宋_GB2312" w:cs="Times New Roman"/>
          <w:kern w:val="2"/>
          <w:sz w:val="32"/>
          <w:szCs w:val="32"/>
          <w:lang w:val="en-US" w:eastAsia="zh-CN"/>
        </w:rPr>
        <w:t>质量监测数据及其他材料要相互印证。</w:t>
      </w:r>
    </w:p>
    <w:p w14:paraId="39D1A295">
      <w:pPr>
        <w:widowControl/>
        <w:numPr>
          <w:ilvl w:val="0"/>
          <w:numId w:val="1"/>
        </w:numPr>
        <w:spacing w:line="560" w:lineRule="exact"/>
        <w:ind w:firstLine="643" w:firstLineChars="200"/>
        <w:jc w:val="left"/>
        <w:rPr>
          <w:rFonts w:hint="default" w:ascii="黑体" w:hAnsi="黑体" w:eastAsia="黑体" w:cs="黑体"/>
          <w:b/>
          <w:kern w:val="0"/>
          <w:sz w:val="32"/>
          <w:szCs w:val="32"/>
          <w:lang w:val="en-US" w:eastAsia="zh-CN"/>
        </w:rPr>
      </w:pPr>
      <w:r>
        <w:rPr>
          <w:rFonts w:hint="default" w:ascii="黑体" w:hAnsi="黑体" w:eastAsia="黑体" w:cs="黑体"/>
          <w:b/>
          <w:kern w:val="0"/>
          <w:sz w:val="32"/>
          <w:szCs w:val="32"/>
          <w:lang w:val="en-US" w:eastAsia="zh-CN"/>
        </w:rPr>
        <w:t>基本框架</w:t>
      </w:r>
    </w:p>
    <w:p w14:paraId="6B002C18">
      <w:pPr>
        <w:widowControl/>
        <w:spacing w:line="560" w:lineRule="exact"/>
        <w:ind w:firstLine="640" w:firstLineChars="200"/>
        <w:jc w:val="left"/>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学校自评报告包括学校概况、本科教学工作状况和主要成效、存在的问题及改进措施三部分内容，第二部分本科教学工作状况和主要成效围绕合格评估指标体系7个一级指标、20个二级指标、39个观测点撰写，第三部分存在的问题及改进措施包含7个左右问题，每个问题均由“存在问题、原因分析、改进措施”三部分组成。基本框架如下：</w:t>
      </w:r>
    </w:p>
    <w:p w14:paraId="63552E61">
      <w:pPr>
        <w:widowControl/>
        <w:spacing w:line="560" w:lineRule="exact"/>
        <w:ind w:firstLine="640" w:firstLineChars="200"/>
        <w:jc w:val="left"/>
        <w:rPr>
          <w:rFonts w:hint="default" w:ascii="Times New Roman" w:hAnsi="Times New Roman" w:eastAsia="仿宋_GB2312" w:cs="Times New Roman"/>
          <w:b w:val="0"/>
          <w:bCs w:val="0"/>
          <w:kern w:val="2"/>
          <w:sz w:val="32"/>
          <w:szCs w:val="32"/>
          <w:lang w:val="en-US" w:eastAsia="zh-CN"/>
        </w:rPr>
      </w:pPr>
      <w:r>
        <w:rPr>
          <w:rFonts w:hint="default" w:ascii="Times New Roman" w:hAnsi="Times New Roman" w:eastAsia="仿宋_GB2312" w:cs="Times New Roman"/>
          <w:b w:val="0"/>
          <w:bCs w:val="0"/>
          <w:kern w:val="2"/>
          <w:sz w:val="32"/>
          <w:szCs w:val="32"/>
          <w:lang w:val="en-US" w:eastAsia="zh-CN"/>
        </w:rPr>
        <w:t>第一部分 学校概况（2000字）</w:t>
      </w:r>
    </w:p>
    <w:p w14:paraId="024E8B4E">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rPr>
      </w:pPr>
      <w:r>
        <w:rPr>
          <w:rFonts w:hint="default" w:ascii="Times New Roman" w:hAnsi="Times New Roman" w:eastAsia="仿宋_GB2312" w:cs="Times New Roman"/>
          <w:b w:val="0"/>
          <w:bCs w:val="0"/>
          <w:kern w:val="2"/>
          <w:sz w:val="32"/>
          <w:szCs w:val="32"/>
          <w:lang w:val="en-US" w:eastAsia="zh-CN"/>
        </w:rPr>
        <w:t>第二部分 本科教学工作状况和主要成效（24400字）</w:t>
      </w:r>
    </w:p>
    <w:p w14:paraId="17735BCE">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1 办学思路与领导作用</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eastAsia="zh-CN"/>
        </w:rPr>
        <w:t>主线：思路基本清晰，领导能力达到基本要求，</w:t>
      </w:r>
      <w:r>
        <w:rPr>
          <w:rFonts w:hint="default" w:ascii="Times New Roman" w:hAnsi="Times New Roman" w:eastAsia="仿宋_GB2312" w:cs="Times New Roman"/>
          <w:b w:val="0"/>
          <w:bCs w:val="0"/>
          <w:sz w:val="32"/>
          <w:szCs w:val="32"/>
          <w:lang w:val="en-US" w:eastAsia="zh-CN"/>
        </w:rPr>
        <w:t>4000</w:t>
      </w:r>
      <w:r>
        <w:rPr>
          <w:rFonts w:hint="default" w:ascii="Times New Roman" w:hAnsi="Times New Roman" w:eastAsia="仿宋_GB2312" w:cs="Times New Roman"/>
          <w:b w:val="0"/>
          <w:bCs w:val="0"/>
          <w:sz w:val="32"/>
          <w:szCs w:val="32"/>
        </w:rPr>
        <w:t>字）</w:t>
      </w:r>
    </w:p>
    <w:p w14:paraId="179DA24F">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 xml:space="preserve">.1 </w:t>
      </w:r>
      <w:r>
        <w:rPr>
          <w:rFonts w:hint="default" w:ascii="Times New Roman" w:hAnsi="Times New Roman" w:eastAsia="仿宋_GB2312" w:cs="Times New Roman"/>
          <w:b w:val="0"/>
          <w:bCs w:val="0"/>
          <w:sz w:val="32"/>
          <w:szCs w:val="32"/>
          <w:lang w:eastAsia="zh-CN"/>
        </w:rPr>
        <w:t>学校</w:t>
      </w:r>
      <w:r>
        <w:rPr>
          <w:rFonts w:hint="default" w:ascii="Times New Roman" w:hAnsi="Times New Roman" w:eastAsia="仿宋_GB2312" w:cs="Times New Roman"/>
          <w:b w:val="0"/>
          <w:bCs w:val="0"/>
          <w:sz w:val="32"/>
          <w:szCs w:val="32"/>
        </w:rPr>
        <w:t>定位</w:t>
      </w:r>
    </w:p>
    <w:p w14:paraId="7931A931">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 xml:space="preserve">.2 </w:t>
      </w:r>
      <w:r>
        <w:rPr>
          <w:rFonts w:hint="default" w:ascii="Times New Roman" w:hAnsi="Times New Roman" w:eastAsia="仿宋_GB2312" w:cs="Times New Roman"/>
          <w:b w:val="0"/>
          <w:bCs w:val="0"/>
          <w:sz w:val="32"/>
          <w:szCs w:val="32"/>
          <w:lang w:eastAsia="zh-CN"/>
        </w:rPr>
        <w:t>领导作用</w:t>
      </w:r>
    </w:p>
    <w:p w14:paraId="3980B121">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.3 人才培养</w:t>
      </w:r>
      <w:r>
        <w:rPr>
          <w:rFonts w:hint="default" w:ascii="Times New Roman" w:hAnsi="Times New Roman" w:eastAsia="仿宋_GB2312" w:cs="Times New Roman"/>
          <w:b w:val="0"/>
          <w:bCs w:val="0"/>
          <w:sz w:val="32"/>
          <w:szCs w:val="32"/>
          <w:lang w:eastAsia="zh-CN"/>
        </w:rPr>
        <w:t>模式</w:t>
      </w:r>
    </w:p>
    <w:p w14:paraId="6447A3F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2 教师队伍</w:t>
      </w:r>
      <w:r>
        <w:rPr>
          <w:rFonts w:hint="default" w:ascii="Times New Roman" w:hAnsi="Times New Roman" w:eastAsia="仿宋_GB2312" w:cs="Times New Roman"/>
          <w:b w:val="0"/>
          <w:bCs w:val="0"/>
          <w:sz w:val="32"/>
          <w:szCs w:val="32"/>
        </w:rPr>
        <w:t>（主线：</w:t>
      </w:r>
      <w:r>
        <w:rPr>
          <w:rFonts w:hint="default" w:ascii="Times New Roman" w:hAnsi="Times New Roman" w:eastAsia="仿宋_GB2312" w:cs="Times New Roman"/>
          <w:b w:val="0"/>
          <w:bCs w:val="0"/>
          <w:sz w:val="32"/>
          <w:szCs w:val="32"/>
          <w:lang w:eastAsia="zh-CN"/>
        </w:rPr>
        <w:t>师资基本满足本科教学需要</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val="en-US" w:eastAsia="zh-CN"/>
        </w:rPr>
        <w:t>3000</w:t>
      </w:r>
      <w:r>
        <w:rPr>
          <w:rFonts w:hint="default" w:ascii="Times New Roman" w:hAnsi="Times New Roman" w:eastAsia="仿宋_GB2312" w:cs="Times New Roman"/>
          <w:b w:val="0"/>
          <w:bCs w:val="0"/>
          <w:sz w:val="32"/>
          <w:szCs w:val="32"/>
        </w:rPr>
        <w:t>字）</w:t>
      </w:r>
    </w:p>
    <w:p w14:paraId="452B55D4">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rPr>
        <w:t>.1 数量与结构</w:t>
      </w:r>
    </w:p>
    <w:p w14:paraId="10F78174">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rPr>
        <w:t>.2 教育教学水平</w:t>
      </w:r>
    </w:p>
    <w:p w14:paraId="1C8B50E3">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rPr>
        <w:t xml:space="preserve">.3 </w:t>
      </w:r>
      <w:r>
        <w:rPr>
          <w:rFonts w:hint="default" w:ascii="Times New Roman" w:hAnsi="Times New Roman" w:eastAsia="仿宋_GB2312" w:cs="Times New Roman"/>
          <w:b w:val="0"/>
          <w:bCs w:val="0"/>
          <w:sz w:val="32"/>
          <w:szCs w:val="32"/>
          <w:lang w:eastAsia="zh-CN"/>
        </w:rPr>
        <w:t>培养培训</w:t>
      </w:r>
    </w:p>
    <w:p w14:paraId="1CCF326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3 教学条件与利用</w:t>
      </w:r>
      <w:r>
        <w:rPr>
          <w:rFonts w:hint="default" w:ascii="Times New Roman" w:hAnsi="Times New Roman" w:eastAsia="仿宋_GB2312" w:cs="Times New Roman"/>
          <w:b w:val="0"/>
          <w:bCs w:val="0"/>
          <w:sz w:val="32"/>
          <w:szCs w:val="32"/>
        </w:rPr>
        <w:t>（主线：</w:t>
      </w:r>
      <w:r>
        <w:rPr>
          <w:rFonts w:hint="default" w:ascii="Times New Roman" w:hAnsi="Times New Roman" w:eastAsia="仿宋_GB2312" w:cs="Times New Roman"/>
          <w:b w:val="0"/>
          <w:bCs w:val="0"/>
          <w:sz w:val="32"/>
          <w:szCs w:val="32"/>
          <w:lang w:eastAsia="zh-CN"/>
        </w:rPr>
        <w:t>教学条件基本</w:t>
      </w:r>
      <w:r>
        <w:rPr>
          <w:rFonts w:hint="default" w:ascii="Times New Roman" w:hAnsi="Times New Roman" w:eastAsia="仿宋_GB2312" w:cs="Times New Roman"/>
          <w:b w:val="0"/>
          <w:bCs w:val="0"/>
          <w:sz w:val="32"/>
          <w:szCs w:val="32"/>
        </w:rPr>
        <w:t>保障</w:t>
      </w:r>
      <w:r>
        <w:rPr>
          <w:rFonts w:hint="default" w:ascii="Times New Roman" w:hAnsi="Times New Roman" w:eastAsia="仿宋_GB2312" w:cs="Times New Roman"/>
          <w:b w:val="0"/>
          <w:bCs w:val="0"/>
          <w:sz w:val="32"/>
          <w:szCs w:val="32"/>
          <w:lang w:eastAsia="zh-CN"/>
        </w:rPr>
        <w:t>本科教学</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val="en-US" w:eastAsia="zh-CN"/>
        </w:rPr>
        <w:t>2400</w:t>
      </w:r>
      <w:r>
        <w:rPr>
          <w:rFonts w:hint="default" w:ascii="Times New Roman" w:hAnsi="Times New Roman" w:eastAsia="仿宋_GB2312" w:cs="Times New Roman"/>
          <w:b w:val="0"/>
          <w:bCs w:val="0"/>
          <w:sz w:val="32"/>
          <w:szCs w:val="32"/>
        </w:rPr>
        <w:t>字）</w:t>
      </w:r>
    </w:p>
    <w:p w14:paraId="7A8C9E94">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.1 教学</w:t>
      </w:r>
      <w:r>
        <w:rPr>
          <w:rFonts w:hint="default" w:ascii="Times New Roman" w:hAnsi="Times New Roman" w:eastAsia="仿宋_GB2312" w:cs="Times New Roman"/>
          <w:b w:val="0"/>
          <w:bCs w:val="0"/>
          <w:sz w:val="32"/>
          <w:szCs w:val="32"/>
          <w:lang w:eastAsia="zh-CN"/>
        </w:rPr>
        <w:t>基本</w:t>
      </w:r>
      <w:r>
        <w:rPr>
          <w:rFonts w:hint="default" w:ascii="Times New Roman" w:hAnsi="Times New Roman" w:eastAsia="仿宋_GB2312" w:cs="Times New Roman"/>
          <w:b w:val="0"/>
          <w:bCs w:val="0"/>
          <w:sz w:val="32"/>
          <w:szCs w:val="32"/>
        </w:rPr>
        <w:t>设施</w:t>
      </w:r>
    </w:p>
    <w:p w14:paraId="52F8D6D9">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.2 经费</w:t>
      </w:r>
      <w:r>
        <w:rPr>
          <w:rFonts w:hint="default" w:ascii="Times New Roman" w:hAnsi="Times New Roman" w:eastAsia="仿宋_GB2312" w:cs="Times New Roman"/>
          <w:b w:val="0"/>
          <w:bCs w:val="0"/>
          <w:sz w:val="32"/>
          <w:szCs w:val="32"/>
          <w:lang w:eastAsia="zh-CN"/>
        </w:rPr>
        <w:t>投入</w:t>
      </w:r>
    </w:p>
    <w:p w14:paraId="7904841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4 专业与课程建设</w:t>
      </w:r>
      <w:r>
        <w:rPr>
          <w:rFonts w:hint="default" w:ascii="Times New Roman" w:hAnsi="Times New Roman" w:eastAsia="仿宋_GB2312" w:cs="Times New Roman"/>
          <w:b w:val="0"/>
          <w:bCs w:val="0"/>
          <w:sz w:val="32"/>
          <w:szCs w:val="32"/>
        </w:rPr>
        <w:t>（主线：</w:t>
      </w:r>
      <w:r>
        <w:rPr>
          <w:rFonts w:hint="default" w:ascii="Times New Roman" w:hAnsi="Times New Roman" w:eastAsia="仿宋_GB2312" w:cs="Times New Roman"/>
          <w:b w:val="0"/>
          <w:bCs w:val="0"/>
          <w:sz w:val="32"/>
          <w:szCs w:val="32"/>
          <w:lang w:eastAsia="zh-CN"/>
        </w:rPr>
        <w:t>培养过程基本规范，基本达到培养目标</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val="en-US" w:eastAsia="zh-CN"/>
        </w:rPr>
        <w:t>4800</w:t>
      </w:r>
      <w:r>
        <w:rPr>
          <w:rFonts w:hint="default" w:ascii="Times New Roman" w:hAnsi="Times New Roman" w:eastAsia="仿宋_GB2312" w:cs="Times New Roman"/>
          <w:b w:val="0"/>
          <w:bCs w:val="0"/>
          <w:sz w:val="32"/>
          <w:szCs w:val="32"/>
        </w:rPr>
        <w:t>字）</w:t>
      </w:r>
    </w:p>
    <w:p w14:paraId="6FB1F582">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 xml:space="preserve"> 专业</w:t>
      </w:r>
      <w:r>
        <w:rPr>
          <w:rFonts w:hint="default" w:ascii="Times New Roman" w:hAnsi="Times New Roman" w:eastAsia="仿宋_GB2312" w:cs="Times New Roman"/>
          <w:b w:val="0"/>
          <w:bCs w:val="0"/>
          <w:sz w:val="32"/>
          <w:szCs w:val="32"/>
          <w:lang w:eastAsia="zh-CN"/>
        </w:rPr>
        <w:t>建设</w:t>
      </w:r>
    </w:p>
    <w:p w14:paraId="5BE1E4D8">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rPr>
        <w:t xml:space="preserve"> 课程</w:t>
      </w:r>
      <w:r>
        <w:rPr>
          <w:rFonts w:hint="default" w:ascii="Times New Roman" w:hAnsi="Times New Roman" w:eastAsia="仿宋_GB2312" w:cs="Times New Roman"/>
          <w:b w:val="0"/>
          <w:bCs w:val="0"/>
          <w:sz w:val="32"/>
          <w:szCs w:val="32"/>
          <w:lang w:eastAsia="zh-CN"/>
        </w:rPr>
        <w:t>与教学</w:t>
      </w:r>
    </w:p>
    <w:p w14:paraId="2BA9A996">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 xml:space="preserve"> </w:t>
      </w:r>
      <w:r>
        <w:rPr>
          <w:rFonts w:hint="default" w:ascii="Times New Roman" w:hAnsi="Times New Roman" w:eastAsia="仿宋_GB2312" w:cs="Times New Roman"/>
          <w:b w:val="0"/>
          <w:bCs w:val="0"/>
          <w:sz w:val="32"/>
          <w:szCs w:val="32"/>
          <w:lang w:eastAsia="zh-CN"/>
        </w:rPr>
        <w:t>实践教学</w:t>
      </w:r>
    </w:p>
    <w:p w14:paraId="43E244C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5 质量管理</w:t>
      </w:r>
      <w:r>
        <w:rPr>
          <w:rFonts w:hint="default" w:ascii="Times New Roman" w:hAnsi="Times New Roman" w:eastAsia="仿宋_GB2312" w:cs="Times New Roman"/>
          <w:b w:val="0"/>
          <w:bCs w:val="0"/>
          <w:sz w:val="32"/>
          <w:szCs w:val="32"/>
        </w:rPr>
        <w:t>（主线：</w:t>
      </w:r>
      <w:r>
        <w:rPr>
          <w:rFonts w:hint="default" w:ascii="Times New Roman" w:hAnsi="Times New Roman" w:eastAsia="仿宋_GB2312" w:cs="Times New Roman"/>
          <w:b w:val="0"/>
          <w:bCs w:val="0"/>
          <w:sz w:val="32"/>
          <w:szCs w:val="32"/>
          <w:lang w:eastAsia="zh-CN"/>
        </w:rPr>
        <w:t>教学管理基本到位</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eastAsia="zh-CN"/>
        </w:rPr>
        <w:t>质量监控基本有效，</w:t>
      </w:r>
      <w:r>
        <w:rPr>
          <w:rFonts w:hint="default" w:ascii="Times New Roman" w:hAnsi="Times New Roman" w:eastAsia="仿宋_GB2312" w:cs="Times New Roman"/>
          <w:b w:val="0"/>
          <w:bCs w:val="0"/>
          <w:sz w:val="32"/>
          <w:szCs w:val="32"/>
          <w:lang w:val="en-US" w:eastAsia="zh-CN"/>
        </w:rPr>
        <w:t>1800</w:t>
      </w:r>
      <w:r>
        <w:rPr>
          <w:rFonts w:hint="default" w:ascii="Times New Roman" w:hAnsi="Times New Roman" w:eastAsia="仿宋_GB2312" w:cs="Times New Roman"/>
          <w:b w:val="0"/>
          <w:bCs w:val="0"/>
          <w:sz w:val="32"/>
          <w:szCs w:val="32"/>
        </w:rPr>
        <w:t>字）</w:t>
      </w:r>
    </w:p>
    <w:p w14:paraId="304E7F29">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 xml:space="preserve">5.1 </w:t>
      </w:r>
      <w:r>
        <w:rPr>
          <w:rFonts w:hint="default" w:ascii="Times New Roman" w:hAnsi="Times New Roman" w:eastAsia="仿宋_GB2312" w:cs="Times New Roman"/>
          <w:b w:val="0"/>
          <w:bCs w:val="0"/>
          <w:sz w:val="32"/>
          <w:szCs w:val="32"/>
          <w:lang w:eastAsia="zh-CN"/>
        </w:rPr>
        <w:t>教学管理队伍</w:t>
      </w:r>
    </w:p>
    <w:p w14:paraId="17AA55E6">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 xml:space="preserve">5.2 </w:t>
      </w:r>
      <w:r>
        <w:rPr>
          <w:rFonts w:hint="default" w:ascii="Times New Roman" w:hAnsi="Times New Roman" w:eastAsia="仿宋_GB2312" w:cs="Times New Roman"/>
          <w:b w:val="0"/>
          <w:bCs w:val="0"/>
          <w:sz w:val="32"/>
          <w:szCs w:val="32"/>
          <w:lang w:eastAsia="zh-CN"/>
        </w:rPr>
        <w:t>质量监控</w:t>
      </w:r>
    </w:p>
    <w:p w14:paraId="6F5F37B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6 学风建设与学生指导</w:t>
      </w:r>
      <w:r>
        <w:rPr>
          <w:rFonts w:hint="default" w:ascii="Times New Roman" w:hAnsi="Times New Roman" w:eastAsia="仿宋_GB2312" w:cs="Times New Roman"/>
          <w:b w:val="0"/>
          <w:bCs w:val="0"/>
          <w:sz w:val="32"/>
          <w:szCs w:val="32"/>
        </w:rPr>
        <w:t>（主线：</w:t>
      </w:r>
      <w:r>
        <w:rPr>
          <w:rFonts w:hint="default" w:ascii="Times New Roman" w:hAnsi="Times New Roman" w:eastAsia="仿宋_GB2312" w:cs="Times New Roman"/>
          <w:b w:val="0"/>
          <w:bCs w:val="0"/>
          <w:sz w:val="32"/>
          <w:szCs w:val="32"/>
          <w:lang w:eastAsia="zh-CN"/>
        </w:rPr>
        <w:t>学生基本</w:t>
      </w:r>
      <w:r>
        <w:rPr>
          <w:rFonts w:hint="default" w:ascii="Times New Roman" w:hAnsi="Times New Roman" w:eastAsia="仿宋_GB2312" w:cs="Times New Roman"/>
          <w:b w:val="0"/>
          <w:bCs w:val="0"/>
          <w:sz w:val="32"/>
          <w:szCs w:val="32"/>
        </w:rPr>
        <w:t>满意，</w:t>
      </w:r>
      <w:r>
        <w:rPr>
          <w:rFonts w:hint="default" w:ascii="Times New Roman" w:hAnsi="Times New Roman" w:eastAsia="仿宋_GB2312" w:cs="Times New Roman"/>
          <w:b w:val="0"/>
          <w:bCs w:val="0"/>
          <w:sz w:val="32"/>
          <w:szCs w:val="32"/>
          <w:lang w:val="en-US" w:eastAsia="zh-CN"/>
        </w:rPr>
        <w:t>3000</w:t>
      </w:r>
      <w:r>
        <w:rPr>
          <w:rFonts w:hint="default" w:ascii="Times New Roman" w:hAnsi="Times New Roman" w:eastAsia="仿宋_GB2312" w:cs="Times New Roman"/>
          <w:b w:val="0"/>
          <w:bCs w:val="0"/>
          <w:sz w:val="32"/>
          <w:szCs w:val="32"/>
        </w:rPr>
        <w:t>字）</w:t>
      </w:r>
    </w:p>
    <w:p w14:paraId="6FF1B97F">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 xml:space="preserve">6.1 </w:t>
      </w:r>
      <w:r>
        <w:rPr>
          <w:rFonts w:hint="default" w:ascii="Times New Roman" w:hAnsi="Times New Roman" w:eastAsia="仿宋_GB2312" w:cs="Times New Roman"/>
          <w:b w:val="0"/>
          <w:bCs w:val="0"/>
          <w:sz w:val="32"/>
          <w:szCs w:val="32"/>
          <w:lang w:eastAsia="zh-CN"/>
        </w:rPr>
        <w:t>学风建设</w:t>
      </w:r>
    </w:p>
    <w:p w14:paraId="27895178">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6.2 指导与服务</w:t>
      </w:r>
    </w:p>
    <w:p w14:paraId="73C1699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7 教学质量</w:t>
      </w:r>
      <w:r>
        <w:rPr>
          <w:rFonts w:hint="default" w:ascii="Times New Roman" w:hAnsi="Times New Roman" w:eastAsia="仿宋_GB2312" w:cs="Times New Roman"/>
          <w:b w:val="0"/>
          <w:bCs w:val="0"/>
          <w:sz w:val="32"/>
          <w:szCs w:val="32"/>
        </w:rPr>
        <w:t>（主线：</w:t>
      </w:r>
      <w:r>
        <w:rPr>
          <w:rFonts w:hint="default" w:ascii="Times New Roman" w:hAnsi="Times New Roman" w:eastAsia="仿宋_GB2312" w:cs="Times New Roman"/>
          <w:b w:val="0"/>
          <w:bCs w:val="0"/>
          <w:sz w:val="32"/>
          <w:szCs w:val="32"/>
          <w:lang w:eastAsia="zh-CN"/>
        </w:rPr>
        <w:t>人才培养质量基本满意</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val="0"/>
          <w:bCs w:val="0"/>
          <w:sz w:val="32"/>
          <w:szCs w:val="32"/>
          <w:lang w:val="en-US" w:eastAsia="zh-CN"/>
        </w:rPr>
        <w:t>5400</w:t>
      </w:r>
      <w:r>
        <w:rPr>
          <w:rFonts w:hint="default" w:ascii="Times New Roman" w:hAnsi="Times New Roman" w:eastAsia="仿宋_GB2312" w:cs="Times New Roman"/>
          <w:b w:val="0"/>
          <w:bCs w:val="0"/>
          <w:sz w:val="32"/>
          <w:szCs w:val="32"/>
        </w:rPr>
        <w:t>字）</w:t>
      </w:r>
    </w:p>
    <w:p w14:paraId="20FC96EB">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 xml:space="preserve">7.1 </w:t>
      </w:r>
      <w:r>
        <w:rPr>
          <w:rFonts w:hint="default" w:ascii="Times New Roman" w:hAnsi="Times New Roman" w:eastAsia="仿宋_GB2312" w:cs="Times New Roman"/>
          <w:b w:val="0"/>
          <w:bCs w:val="0"/>
          <w:sz w:val="32"/>
          <w:szCs w:val="32"/>
          <w:lang w:eastAsia="zh-CN"/>
        </w:rPr>
        <w:t>德育</w:t>
      </w:r>
    </w:p>
    <w:p w14:paraId="793A0F79">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 xml:space="preserve">7.2 </w:t>
      </w:r>
      <w:r>
        <w:rPr>
          <w:rFonts w:hint="default" w:ascii="Times New Roman" w:hAnsi="Times New Roman" w:eastAsia="仿宋_GB2312" w:cs="Times New Roman"/>
          <w:b w:val="0"/>
          <w:bCs w:val="0"/>
          <w:sz w:val="32"/>
          <w:szCs w:val="32"/>
          <w:lang w:eastAsia="zh-CN"/>
        </w:rPr>
        <w:t>专业知识与能力</w:t>
      </w:r>
    </w:p>
    <w:p w14:paraId="591547A1">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 xml:space="preserve">7.3 </w:t>
      </w:r>
      <w:r>
        <w:rPr>
          <w:rFonts w:hint="default" w:ascii="Times New Roman" w:hAnsi="Times New Roman" w:eastAsia="仿宋_GB2312" w:cs="Times New Roman"/>
          <w:b w:val="0"/>
          <w:bCs w:val="0"/>
          <w:sz w:val="32"/>
          <w:szCs w:val="32"/>
          <w:lang w:eastAsia="zh-CN"/>
        </w:rPr>
        <w:t>体育美育</w:t>
      </w:r>
    </w:p>
    <w:p w14:paraId="5E1DA950">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 xml:space="preserve">7.4 </w:t>
      </w:r>
      <w:r>
        <w:rPr>
          <w:rFonts w:hint="default" w:ascii="Times New Roman" w:hAnsi="Times New Roman" w:eastAsia="仿宋_GB2312" w:cs="Times New Roman"/>
          <w:b w:val="0"/>
          <w:bCs w:val="0"/>
          <w:sz w:val="32"/>
          <w:szCs w:val="32"/>
          <w:lang w:eastAsia="zh-CN"/>
        </w:rPr>
        <w:t>校内外评价</w:t>
      </w:r>
    </w:p>
    <w:p w14:paraId="478D97FB">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rPr>
        <w:t xml:space="preserve">7.5 </w:t>
      </w:r>
      <w:r>
        <w:rPr>
          <w:rFonts w:hint="default" w:ascii="Times New Roman" w:hAnsi="Times New Roman" w:eastAsia="仿宋_GB2312" w:cs="Times New Roman"/>
          <w:b w:val="0"/>
          <w:bCs w:val="0"/>
          <w:sz w:val="32"/>
          <w:szCs w:val="32"/>
          <w:lang w:eastAsia="zh-CN"/>
        </w:rPr>
        <w:t>就业</w:t>
      </w:r>
    </w:p>
    <w:p w14:paraId="149C7EA0">
      <w:pPr>
        <w:keepNext w:val="0"/>
        <w:keepLines w:val="0"/>
        <w:pageBreakBefore w:val="0"/>
        <w:widowControl/>
        <w:numPr>
          <w:ilvl w:val="0"/>
          <w:numId w:val="0"/>
        </w:numPr>
        <w:kinsoku/>
        <w:wordWrap/>
        <w:overflowPunct/>
        <w:topLinePunct w:val="0"/>
        <w:autoSpaceDE/>
        <w:autoSpaceDN/>
        <w:bidi w:val="0"/>
        <w:spacing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rPr>
      </w:pPr>
      <w:r>
        <w:rPr>
          <w:rFonts w:hint="default" w:ascii="Times New Roman" w:hAnsi="Times New Roman" w:eastAsia="仿宋_GB2312" w:cs="Times New Roman"/>
          <w:b w:val="0"/>
          <w:bCs w:val="0"/>
          <w:kern w:val="2"/>
          <w:sz w:val="32"/>
          <w:szCs w:val="32"/>
          <w:lang w:val="en-US" w:eastAsia="zh-CN"/>
        </w:rPr>
        <w:t>第三部分 存在的问题及改进措施（13300字）</w:t>
      </w:r>
    </w:p>
    <w:p w14:paraId="44767B64">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 干部队伍高教管理能力有待进一步提升（例，每个问题1900字）</w:t>
      </w:r>
    </w:p>
    <w:p w14:paraId="08CDFA44">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1.1存在问题</w:t>
      </w:r>
    </w:p>
    <w:p w14:paraId="2E16FAC1">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1.2原因分析</w:t>
      </w:r>
    </w:p>
    <w:p w14:paraId="701648A0">
      <w:pPr>
        <w:keepNext w:val="0"/>
        <w:keepLines w:val="0"/>
        <w:pageBreakBefore w:val="0"/>
        <w:widowControl/>
        <w:kinsoku/>
        <w:wordWrap/>
        <w:overflowPunct/>
        <w:topLinePunct w:val="0"/>
        <w:autoSpaceDE/>
        <w:autoSpaceDN/>
        <w:bidi w:val="0"/>
        <w:adjustRightInd w:val="0"/>
        <w:snapToGrid w:val="0"/>
        <w:spacing w:line="560" w:lineRule="exact"/>
        <w:ind w:firstLine="1280" w:firstLineChars="4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1.3改进措施</w:t>
      </w:r>
    </w:p>
    <w:p w14:paraId="149BC181">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w:t>
      </w:r>
    </w:p>
    <w:p w14:paraId="153067AA">
      <w:pPr>
        <w:widowControl/>
        <w:numPr>
          <w:ilvl w:val="0"/>
          <w:numId w:val="1"/>
        </w:numPr>
        <w:spacing w:line="560" w:lineRule="exact"/>
        <w:ind w:firstLine="643" w:firstLineChars="200"/>
        <w:jc w:val="left"/>
        <w:rPr>
          <w:rFonts w:hint="default" w:ascii="黑体" w:hAnsi="黑体" w:eastAsia="黑体" w:cs="黑体"/>
          <w:b/>
          <w:kern w:val="0"/>
          <w:sz w:val="32"/>
          <w:szCs w:val="32"/>
          <w:lang w:val="en-US" w:eastAsia="zh-CN"/>
        </w:rPr>
      </w:pPr>
      <w:r>
        <w:rPr>
          <w:rFonts w:hint="default" w:ascii="黑体" w:hAnsi="黑体" w:eastAsia="黑体" w:cs="黑体"/>
          <w:b/>
          <w:kern w:val="0"/>
          <w:sz w:val="32"/>
          <w:szCs w:val="32"/>
          <w:lang w:val="en-US" w:eastAsia="zh-CN"/>
        </w:rPr>
        <w:t>责任分工</w:t>
      </w:r>
    </w:p>
    <w:p w14:paraId="111962B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lang w:val="en-US" w:eastAsia="zh-CN"/>
        </w:rPr>
        <w:t>学校自评报告采用责任单位分块撰写、评建专项工作组分块统筹、评建办综合统稿的方式进行。第一部分由党院办负责撰写；第二部分根据</w:t>
      </w:r>
      <w:r>
        <w:rPr>
          <w:rFonts w:hint="default" w:ascii="Times New Roman" w:hAnsi="Times New Roman" w:eastAsia="仿宋_GB2312" w:cs="Times New Roman"/>
          <w:kern w:val="2"/>
          <w:sz w:val="32"/>
          <w:szCs w:val="32"/>
          <w:lang w:val="en-US" w:eastAsia="zh-CN"/>
        </w:rPr>
        <w:t>《合格评估实施方案》，由39个观测点对应“牵头部门”负责每个观测点的自评陈述和对应支撑材料的收集整理，</w:t>
      </w:r>
      <w:r>
        <w:rPr>
          <w:rFonts w:hint="default" w:ascii="Times New Roman" w:hAnsi="Times New Roman" w:eastAsia="仿宋_GB2312" w:cs="Times New Roman"/>
          <w:kern w:val="0"/>
          <w:sz w:val="32"/>
          <w:szCs w:val="32"/>
          <w:highlight w:val="none"/>
          <w:lang w:val="en-US" w:eastAsia="zh-CN" w:bidi="ar"/>
        </w:rPr>
        <w:t>各一级指标对应的“评建专项工作组”负责对应观测点的自评综述和对应支撑材料的整理完善；第三部分由负责评估指标建设工作的5个评建专项工作组根据对应一级指标分别提炼出1个问题的方式进行撰写，也可根据实际情况提炼2个问题。</w:t>
      </w:r>
    </w:p>
    <w:p w14:paraId="4223ED4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default" w:ascii="Times New Roman" w:hAnsi="Times New Roman" w:eastAsia="仿宋_GB2312" w:cs="Times New Roman"/>
          <w:b/>
          <w:bCs/>
          <w:kern w:val="0"/>
          <w:sz w:val="32"/>
          <w:szCs w:val="32"/>
          <w:highlight w:val="none"/>
          <w:lang w:val="en-US" w:eastAsia="zh-CN" w:bidi="ar"/>
        </w:rPr>
      </w:pPr>
    </w:p>
    <w:p w14:paraId="2DFAA97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default" w:ascii="Times New Roman" w:hAnsi="Times New Roman" w:eastAsia="仿宋_GB2312" w:cs="Times New Roman"/>
          <w:b/>
          <w:bCs/>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lang w:val="en-US" w:eastAsia="zh-CN" w:bidi="ar"/>
        </w:rPr>
        <w:t>表1  学校自评报告撰写任务分工表</w:t>
      </w:r>
    </w:p>
    <w:tbl>
      <w:tblPr>
        <w:tblStyle w:val="5"/>
        <w:tblW w:w="104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0"/>
        <w:gridCol w:w="1620"/>
        <w:gridCol w:w="2790"/>
        <w:gridCol w:w="2300"/>
        <w:gridCol w:w="1199"/>
        <w:gridCol w:w="1199"/>
      </w:tblGrid>
      <w:tr w14:paraId="35989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8" w:hRule="atLeast"/>
          <w:tblHeader/>
          <w:jc w:val="center"/>
        </w:trPr>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D26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b/>
                <w:bCs/>
                <w:i w:val="0"/>
                <w:iCs w:val="0"/>
                <w:color w:val="000000"/>
                <w:sz w:val="28"/>
                <w:szCs w:val="28"/>
                <w:u w:val="none"/>
              </w:rPr>
            </w:pPr>
            <w:r>
              <w:rPr>
                <w:rFonts w:hint="default" w:ascii="Times New Roman" w:hAnsi="Times New Roman" w:eastAsia="仿宋_GB2312" w:cs="Times New Roman"/>
                <w:b/>
                <w:bCs/>
                <w:i w:val="0"/>
                <w:iCs w:val="0"/>
                <w:color w:val="000000"/>
                <w:kern w:val="0"/>
                <w:sz w:val="28"/>
                <w:szCs w:val="28"/>
                <w:u w:val="none"/>
                <w:lang w:val="en-US" w:eastAsia="zh-CN" w:bidi="ar"/>
              </w:rPr>
              <w:t>三大部分</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3CD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b/>
                <w:bCs/>
                <w:i w:val="0"/>
                <w:iCs w:val="0"/>
                <w:color w:val="000000"/>
                <w:sz w:val="28"/>
                <w:szCs w:val="28"/>
                <w:u w:val="none"/>
              </w:rPr>
            </w:pPr>
            <w:r>
              <w:rPr>
                <w:rFonts w:hint="default" w:ascii="Times New Roman" w:hAnsi="Times New Roman" w:eastAsia="仿宋_GB2312" w:cs="Times New Roman"/>
                <w:b/>
                <w:bCs/>
                <w:i w:val="0"/>
                <w:iCs w:val="0"/>
                <w:color w:val="000000"/>
                <w:kern w:val="0"/>
                <w:sz w:val="28"/>
                <w:szCs w:val="28"/>
                <w:u w:val="none"/>
                <w:lang w:val="en-US" w:eastAsia="zh-CN" w:bidi="ar"/>
              </w:rPr>
              <w:t>一级指标</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FD24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b/>
                <w:bCs/>
                <w:i w:val="0"/>
                <w:iCs w:val="0"/>
                <w:color w:val="000000"/>
                <w:sz w:val="28"/>
                <w:szCs w:val="28"/>
                <w:u w:val="none"/>
              </w:rPr>
            </w:pPr>
            <w:r>
              <w:rPr>
                <w:rFonts w:hint="default" w:ascii="Times New Roman" w:hAnsi="Times New Roman" w:eastAsia="仿宋_GB2312" w:cs="Times New Roman"/>
                <w:b/>
                <w:bCs/>
                <w:i w:val="0"/>
                <w:iCs w:val="0"/>
                <w:color w:val="000000"/>
                <w:kern w:val="0"/>
                <w:sz w:val="28"/>
                <w:szCs w:val="28"/>
                <w:u w:val="none"/>
                <w:lang w:val="en-US" w:eastAsia="zh-CN" w:bidi="ar"/>
              </w:rPr>
              <w:t>二级指标</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9814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b/>
                <w:bCs/>
                <w:i w:val="0"/>
                <w:iCs w:val="0"/>
                <w:color w:val="000000"/>
                <w:sz w:val="28"/>
                <w:szCs w:val="28"/>
                <w:u w:val="none"/>
              </w:rPr>
            </w:pPr>
            <w:r>
              <w:rPr>
                <w:rFonts w:hint="default" w:ascii="Times New Roman" w:hAnsi="Times New Roman" w:eastAsia="仿宋_GB2312" w:cs="Times New Roman"/>
                <w:b/>
                <w:bCs/>
                <w:i w:val="0"/>
                <w:iCs w:val="0"/>
                <w:color w:val="000000"/>
                <w:kern w:val="0"/>
                <w:sz w:val="28"/>
                <w:szCs w:val="28"/>
                <w:u w:val="none"/>
                <w:lang w:val="en-US" w:eastAsia="zh-CN" w:bidi="ar"/>
              </w:rPr>
              <w:t>责任部门</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B79B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b/>
                <w:bCs/>
                <w:i w:val="0"/>
                <w:iCs w:val="0"/>
                <w:color w:val="000000"/>
                <w:sz w:val="28"/>
                <w:szCs w:val="28"/>
                <w:u w:val="none"/>
              </w:rPr>
            </w:pPr>
            <w:r>
              <w:rPr>
                <w:rFonts w:hint="default" w:ascii="Times New Roman" w:hAnsi="Times New Roman" w:eastAsia="仿宋_GB2312" w:cs="Times New Roman"/>
                <w:b/>
                <w:bCs/>
                <w:i w:val="0"/>
                <w:iCs w:val="0"/>
                <w:color w:val="000000"/>
                <w:kern w:val="0"/>
                <w:sz w:val="28"/>
                <w:szCs w:val="28"/>
                <w:u w:val="none"/>
                <w:lang w:val="en-US" w:eastAsia="zh-CN" w:bidi="ar"/>
              </w:rPr>
              <w:t>责任人</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8EE1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b/>
                <w:bCs/>
                <w:i w:val="0"/>
                <w:iCs w:val="0"/>
                <w:color w:val="000000"/>
                <w:kern w:val="0"/>
                <w:sz w:val="28"/>
                <w:szCs w:val="28"/>
                <w:u w:val="none"/>
                <w:lang w:val="en-US" w:eastAsia="zh-CN" w:bidi="ar"/>
              </w:rPr>
            </w:pPr>
            <w:r>
              <w:rPr>
                <w:rFonts w:hint="default" w:ascii="Times New Roman" w:hAnsi="Times New Roman" w:eastAsia="仿宋_GB2312" w:cs="Times New Roman"/>
                <w:b/>
                <w:bCs/>
                <w:i w:val="0"/>
                <w:iCs w:val="0"/>
                <w:color w:val="000000"/>
                <w:kern w:val="0"/>
                <w:sz w:val="28"/>
                <w:szCs w:val="28"/>
                <w:u w:val="none"/>
                <w:lang w:val="en-US" w:eastAsia="zh-CN" w:bidi="ar"/>
              </w:rPr>
              <w:t>评建办秘书</w:t>
            </w:r>
          </w:p>
        </w:tc>
      </w:tr>
      <w:tr w14:paraId="0BCF0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7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681952">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b/>
                <w:bCs/>
                <w:i w:val="0"/>
                <w:iCs w:val="0"/>
                <w:color w:val="000000"/>
                <w:sz w:val="28"/>
                <w:szCs w:val="28"/>
                <w:u w:val="none"/>
              </w:rPr>
            </w:pPr>
            <w:r>
              <w:rPr>
                <w:rFonts w:hint="default" w:ascii="Times New Roman" w:hAnsi="Times New Roman" w:eastAsia="仿宋_GB2312" w:cs="Times New Roman"/>
                <w:b/>
                <w:bCs/>
                <w:i w:val="0"/>
                <w:iCs w:val="0"/>
                <w:color w:val="000000"/>
                <w:kern w:val="0"/>
                <w:sz w:val="28"/>
                <w:szCs w:val="28"/>
                <w:u w:val="none"/>
                <w:lang w:val="en-US" w:eastAsia="zh-CN" w:bidi="ar"/>
              </w:rPr>
              <w:t>第一部分  学校概况</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25F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党院办</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4E4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陆伟成</w:t>
            </w:r>
          </w:p>
        </w:tc>
        <w:tc>
          <w:tcPr>
            <w:tcW w:w="1199" w:type="dxa"/>
            <w:vMerge w:val="restart"/>
            <w:tcBorders>
              <w:top w:val="single" w:color="000000" w:sz="4" w:space="0"/>
              <w:left w:val="single" w:color="000000" w:sz="4" w:space="0"/>
              <w:right w:val="single" w:color="000000" w:sz="4" w:space="0"/>
            </w:tcBorders>
            <w:shd w:val="clear" w:color="auto" w:fill="auto"/>
            <w:vAlign w:val="center"/>
          </w:tcPr>
          <w:p w14:paraId="7F50A0D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r>
              <w:rPr>
                <w:rFonts w:hint="default" w:ascii="Times New Roman" w:hAnsi="Times New Roman" w:eastAsia="仿宋_GB2312" w:cs="Times New Roman"/>
                <w:i w:val="0"/>
                <w:iCs w:val="0"/>
                <w:color w:val="000000"/>
                <w:kern w:val="0"/>
                <w:sz w:val="28"/>
                <w:szCs w:val="28"/>
                <w:u w:val="none"/>
                <w:lang w:val="en-US" w:eastAsia="zh-CN" w:bidi="ar"/>
              </w:rPr>
              <w:t>杨国庆</w:t>
            </w:r>
          </w:p>
        </w:tc>
      </w:tr>
      <w:tr w14:paraId="56EF2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restart"/>
            <w:tcBorders>
              <w:top w:val="nil"/>
              <w:left w:val="single" w:color="000000" w:sz="4" w:space="0"/>
              <w:bottom w:val="nil"/>
              <w:right w:val="single" w:color="000000" w:sz="4" w:space="0"/>
            </w:tcBorders>
            <w:shd w:val="clear" w:color="auto" w:fill="auto"/>
            <w:vAlign w:val="center"/>
          </w:tcPr>
          <w:p w14:paraId="2D274BE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b/>
                <w:bCs/>
                <w:i w:val="0"/>
                <w:iCs w:val="0"/>
                <w:color w:val="000000"/>
                <w:sz w:val="28"/>
                <w:szCs w:val="28"/>
                <w:u w:val="none"/>
              </w:rPr>
            </w:pPr>
            <w:r>
              <w:rPr>
                <w:rFonts w:hint="default" w:ascii="Times New Roman" w:hAnsi="Times New Roman" w:eastAsia="仿宋_GB2312" w:cs="Times New Roman"/>
                <w:b/>
                <w:bCs/>
                <w:i w:val="0"/>
                <w:iCs w:val="0"/>
                <w:color w:val="000000"/>
                <w:kern w:val="0"/>
                <w:sz w:val="28"/>
                <w:szCs w:val="28"/>
                <w:u w:val="none"/>
                <w:lang w:val="en-US" w:eastAsia="zh-CN" w:bidi="ar"/>
              </w:rPr>
              <w:t>第二部分  本科教学工作状况和主要成效</w:t>
            </w:r>
          </w:p>
        </w:tc>
        <w:tc>
          <w:tcPr>
            <w:tcW w:w="1620" w:type="dxa"/>
            <w:vMerge w:val="restart"/>
            <w:tcBorders>
              <w:top w:val="nil"/>
              <w:left w:val="single" w:color="000000" w:sz="4" w:space="0"/>
              <w:bottom w:val="single" w:color="000000" w:sz="4" w:space="0"/>
              <w:right w:val="single" w:color="000000" w:sz="4" w:space="0"/>
            </w:tcBorders>
            <w:shd w:val="clear" w:color="auto" w:fill="auto"/>
            <w:vAlign w:val="center"/>
          </w:tcPr>
          <w:p w14:paraId="17B80DB6">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1.办学思路与领导作用</w:t>
            </w:r>
          </w:p>
        </w:tc>
        <w:tc>
          <w:tcPr>
            <w:tcW w:w="2790" w:type="dxa"/>
            <w:tcBorders>
              <w:top w:val="nil"/>
              <w:left w:val="single" w:color="000000" w:sz="4" w:space="0"/>
              <w:bottom w:val="single" w:color="000000" w:sz="4" w:space="0"/>
              <w:right w:val="single" w:color="000000" w:sz="4" w:space="0"/>
            </w:tcBorders>
            <w:shd w:val="clear" w:color="auto" w:fill="auto"/>
            <w:vAlign w:val="center"/>
          </w:tcPr>
          <w:p w14:paraId="32463BBF">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1.1学校定位</w:t>
            </w:r>
          </w:p>
        </w:tc>
        <w:tc>
          <w:tcPr>
            <w:tcW w:w="2300" w:type="dxa"/>
            <w:vMerge w:val="restart"/>
            <w:tcBorders>
              <w:top w:val="nil"/>
              <w:left w:val="single" w:color="000000" w:sz="4" w:space="0"/>
              <w:bottom w:val="nil"/>
              <w:right w:val="single" w:color="000000" w:sz="4" w:space="0"/>
            </w:tcBorders>
            <w:shd w:val="clear" w:color="auto" w:fill="auto"/>
            <w:vAlign w:val="center"/>
          </w:tcPr>
          <w:p w14:paraId="05C5888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发规处（1.办学思路与特色培育组）</w:t>
            </w:r>
          </w:p>
        </w:tc>
        <w:tc>
          <w:tcPr>
            <w:tcW w:w="1199" w:type="dxa"/>
            <w:vMerge w:val="restart"/>
            <w:tcBorders>
              <w:top w:val="nil"/>
              <w:left w:val="single" w:color="000000" w:sz="4" w:space="0"/>
              <w:bottom w:val="nil"/>
              <w:right w:val="single" w:color="000000" w:sz="4" w:space="0"/>
            </w:tcBorders>
            <w:shd w:val="clear" w:color="auto" w:fill="auto"/>
            <w:vAlign w:val="center"/>
          </w:tcPr>
          <w:p w14:paraId="7A0F5BA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沈阳</w:t>
            </w:r>
          </w:p>
        </w:tc>
        <w:tc>
          <w:tcPr>
            <w:tcW w:w="1199" w:type="dxa"/>
            <w:vMerge w:val="continue"/>
            <w:tcBorders>
              <w:left w:val="single" w:color="000000" w:sz="4" w:space="0"/>
              <w:right w:val="single" w:color="000000" w:sz="4" w:space="0"/>
            </w:tcBorders>
            <w:shd w:val="clear" w:color="auto" w:fill="auto"/>
            <w:vAlign w:val="center"/>
          </w:tcPr>
          <w:p w14:paraId="53EEBBA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p>
        </w:tc>
      </w:tr>
      <w:tr w14:paraId="5D9A7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41825685">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nil"/>
              <w:left w:val="single" w:color="000000" w:sz="4" w:space="0"/>
              <w:bottom w:val="single" w:color="000000" w:sz="4" w:space="0"/>
              <w:right w:val="single" w:color="000000" w:sz="4" w:space="0"/>
            </w:tcBorders>
            <w:shd w:val="clear" w:color="auto" w:fill="auto"/>
            <w:vAlign w:val="center"/>
          </w:tcPr>
          <w:p w14:paraId="29201674">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790D">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1.2领导作用</w:t>
            </w:r>
          </w:p>
        </w:tc>
        <w:tc>
          <w:tcPr>
            <w:tcW w:w="2300" w:type="dxa"/>
            <w:vMerge w:val="continue"/>
            <w:tcBorders>
              <w:top w:val="nil"/>
              <w:left w:val="single" w:color="000000" w:sz="4" w:space="0"/>
              <w:bottom w:val="nil"/>
              <w:right w:val="single" w:color="000000" w:sz="4" w:space="0"/>
            </w:tcBorders>
            <w:shd w:val="clear" w:color="auto" w:fill="auto"/>
            <w:vAlign w:val="center"/>
          </w:tcPr>
          <w:p w14:paraId="3CC6D2BC">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nil"/>
              <w:left w:val="single" w:color="000000" w:sz="4" w:space="0"/>
              <w:bottom w:val="nil"/>
              <w:right w:val="single" w:color="000000" w:sz="4" w:space="0"/>
            </w:tcBorders>
            <w:shd w:val="clear" w:color="auto" w:fill="auto"/>
            <w:vAlign w:val="center"/>
          </w:tcPr>
          <w:p w14:paraId="1F4ABA27">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0D594705">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4D578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21853567">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nil"/>
              <w:left w:val="single" w:color="000000" w:sz="4" w:space="0"/>
              <w:bottom w:val="single" w:color="000000" w:sz="4" w:space="0"/>
              <w:right w:val="single" w:color="000000" w:sz="4" w:space="0"/>
            </w:tcBorders>
            <w:shd w:val="clear" w:color="auto" w:fill="auto"/>
            <w:vAlign w:val="center"/>
          </w:tcPr>
          <w:p w14:paraId="184248EC">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4FD9">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1.3人才培养模式</w:t>
            </w:r>
          </w:p>
        </w:tc>
        <w:tc>
          <w:tcPr>
            <w:tcW w:w="2300" w:type="dxa"/>
            <w:vMerge w:val="continue"/>
            <w:tcBorders>
              <w:top w:val="nil"/>
              <w:left w:val="single" w:color="000000" w:sz="4" w:space="0"/>
              <w:bottom w:val="nil"/>
              <w:right w:val="single" w:color="000000" w:sz="4" w:space="0"/>
            </w:tcBorders>
            <w:shd w:val="clear" w:color="auto" w:fill="auto"/>
            <w:vAlign w:val="center"/>
          </w:tcPr>
          <w:p w14:paraId="4FD02A2D">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nil"/>
              <w:left w:val="single" w:color="000000" w:sz="4" w:space="0"/>
              <w:bottom w:val="nil"/>
              <w:right w:val="single" w:color="000000" w:sz="4" w:space="0"/>
            </w:tcBorders>
            <w:shd w:val="clear" w:color="auto" w:fill="auto"/>
            <w:vAlign w:val="center"/>
          </w:tcPr>
          <w:p w14:paraId="284A688A">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4B6030F8">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0A4AA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1BD78113">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3AE58">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2.教师队伍</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D7E1A">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2.1数量与结构</w:t>
            </w:r>
          </w:p>
        </w:tc>
        <w:tc>
          <w:tcPr>
            <w:tcW w:w="2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8E16F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人事处（2.师资队伍建设组）</w:t>
            </w: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CB3EC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俞金</w:t>
            </w:r>
          </w:p>
        </w:tc>
        <w:tc>
          <w:tcPr>
            <w:tcW w:w="1199" w:type="dxa"/>
            <w:vMerge w:val="continue"/>
            <w:tcBorders>
              <w:left w:val="single" w:color="000000" w:sz="4" w:space="0"/>
              <w:right w:val="single" w:color="000000" w:sz="4" w:space="0"/>
            </w:tcBorders>
            <w:shd w:val="clear" w:color="auto" w:fill="auto"/>
            <w:vAlign w:val="center"/>
          </w:tcPr>
          <w:p w14:paraId="3D8F63B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p>
        </w:tc>
      </w:tr>
      <w:tr w14:paraId="1273A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0F6B8870">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C676A">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8853">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2.2教育教学水平</w:t>
            </w: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00119">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1F8B7">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1B2959F9">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72364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36E3E54F">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8AEE6">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F208B">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2.3培养培训</w:t>
            </w: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42041">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8780A">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74B200D6">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15F23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4C446298">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9632D">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3.教学条件与利用</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D918">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3.1教学基本设施</w:t>
            </w:r>
          </w:p>
        </w:tc>
        <w:tc>
          <w:tcPr>
            <w:tcW w:w="2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C20B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公管处（3.教学条件与利用组）</w:t>
            </w: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93916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李雁冰</w:t>
            </w:r>
          </w:p>
        </w:tc>
        <w:tc>
          <w:tcPr>
            <w:tcW w:w="1199" w:type="dxa"/>
            <w:vMerge w:val="continue"/>
            <w:tcBorders>
              <w:left w:val="single" w:color="000000" w:sz="4" w:space="0"/>
              <w:right w:val="single" w:color="000000" w:sz="4" w:space="0"/>
            </w:tcBorders>
            <w:shd w:val="clear" w:color="auto" w:fill="auto"/>
            <w:vAlign w:val="center"/>
          </w:tcPr>
          <w:p w14:paraId="70C9A3CB">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p>
        </w:tc>
      </w:tr>
      <w:tr w14:paraId="6A281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61AA965D">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6DD47">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C631">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3.2经费投入</w:t>
            </w: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5C94B">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26ECF">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bottom w:val="single" w:color="000000" w:sz="4" w:space="0"/>
              <w:right w:val="single" w:color="000000" w:sz="4" w:space="0"/>
            </w:tcBorders>
            <w:shd w:val="clear" w:color="auto" w:fill="auto"/>
            <w:vAlign w:val="center"/>
          </w:tcPr>
          <w:p w14:paraId="6E9B97ED">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4EC5D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7C3144B9">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77D9AF">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4.专业与课程建设</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B9AC1">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4.1专业建设</w:t>
            </w:r>
          </w:p>
        </w:tc>
        <w:tc>
          <w:tcPr>
            <w:tcW w:w="2300" w:type="dxa"/>
            <w:vMerge w:val="restart"/>
            <w:tcBorders>
              <w:top w:val="single" w:color="000000" w:sz="4" w:space="0"/>
              <w:left w:val="single" w:color="000000" w:sz="4" w:space="0"/>
              <w:bottom w:val="nil"/>
              <w:right w:val="single" w:color="000000" w:sz="4" w:space="0"/>
            </w:tcBorders>
            <w:shd w:val="clear" w:color="auto" w:fill="auto"/>
            <w:vAlign w:val="center"/>
          </w:tcPr>
          <w:p w14:paraId="427DF68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教务处（4.教学建设与质量管理组）</w:t>
            </w:r>
          </w:p>
        </w:tc>
        <w:tc>
          <w:tcPr>
            <w:tcW w:w="1199" w:type="dxa"/>
            <w:vMerge w:val="restart"/>
            <w:tcBorders>
              <w:top w:val="single" w:color="000000" w:sz="4" w:space="0"/>
              <w:left w:val="single" w:color="000000" w:sz="4" w:space="0"/>
              <w:bottom w:val="nil"/>
              <w:right w:val="single" w:color="000000" w:sz="4" w:space="0"/>
            </w:tcBorders>
            <w:shd w:val="clear" w:color="auto" w:fill="auto"/>
            <w:vAlign w:val="center"/>
          </w:tcPr>
          <w:p w14:paraId="7E3C7F05">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阎登科</w:t>
            </w:r>
          </w:p>
        </w:tc>
        <w:tc>
          <w:tcPr>
            <w:tcW w:w="1199" w:type="dxa"/>
            <w:vMerge w:val="restart"/>
            <w:tcBorders>
              <w:top w:val="single" w:color="000000" w:sz="4" w:space="0"/>
              <w:left w:val="single" w:color="000000" w:sz="4" w:space="0"/>
              <w:right w:val="single" w:color="000000" w:sz="4" w:space="0"/>
            </w:tcBorders>
            <w:shd w:val="clear" w:color="auto" w:fill="auto"/>
            <w:vAlign w:val="center"/>
          </w:tcPr>
          <w:p w14:paraId="1F22653C">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r>
              <w:rPr>
                <w:rFonts w:hint="default" w:ascii="Times New Roman" w:hAnsi="Times New Roman" w:eastAsia="仿宋_GB2312" w:cs="Times New Roman"/>
                <w:i w:val="0"/>
                <w:iCs w:val="0"/>
                <w:color w:val="000000"/>
                <w:kern w:val="0"/>
                <w:sz w:val="28"/>
                <w:szCs w:val="28"/>
                <w:u w:val="none"/>
                <w:lang w:val="en-US" w:eastAsia="zh-CN" w:bidi="ar"/>
              </w:rPr>
              <w:t>迟学旺</w:t>
            </w:r>
          </w:p>
        </w:tc>
      </w:tr>
      <w:tr w14:paraId="07BEF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5A3F3700">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8900D">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7C72">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4.2课程与教学</w:t>
            </w:r>
          </w:p>
        </w:tc>
        <w:tc>
          <w:tcPr>
            <w:tcW w:w="2300" w:type="dxa"/>
            <w:vMerge w:val="continue"/>
            <w:tcBorders>
              <w:top w:val="single" w:color="000000" w:sz="4" w:space="0"/>
              <w:left w:val="single" w:color="000000" w:sz="4" w:space="0"/>
              <w:bottom w:val="nil"/>
              <w:right w:val="single" w:color="000000" w:sz="4" w:space="0"/>
            </w:tcBorders>
            <w:shd w:val="clear" w:color="auto" w:fill="auto"/>
            <w:vAlign w:val="center"/>
          </w:tcPr>
          <w:p w14:paraId="32705EED">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nil"/>
              <w:right w:val="single" w:color="000000" w:sz="4" w:space="0"/>
            </w:tcBorders>
            <w:shd w:val="clear" w:color="auto" w:fill="auto"/>
            <w:vAlign w:val="center"/>
          </w:tcPr>
          <w:p w14:paraId="75128B17">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22426ADA">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23BDB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575CBBBE">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1DF88">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64DE">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4.3实践教学</w:t>
            </w:r>
          </w:p>
        </w:tc>
        <w:tc>
          <w:tcPr>
            <w:tcW w:w="2300" w:type="dxa"/>
            <w:vMerge w:val="continue"/>
            <w:tcBorders>
              <w:top w:val="single" w:color="000000" w:sz="4" w:space="0"/>
              <w:left w:val="single" w:color="000000" w:sz="4" w:space="0"/>
              <w:bottom w:val="nil"/>
              <w:right w:val="single" w:color="000000" w:sz="4" w:space="0"/>
            </w:tcBorders>
            <w:shd w:val="clear" w:color="auto" w:fill="auto"/>
            <w:vAlign w:val="center"/>
          </w:tcPr>
          <w:p w14:paraId="171F90E0">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nil"/>
              <w:right w:val="single" w:color="000000" w:sz="4" w:space="0"/>
            </w:tcBorders>
            <w:shd w:val="clear" w:color="auto" w:fill="auto"/>
            <w:vAlign w:val="center"/>
          </w:tcPr>
          <w:p w14:paraId="5CF47C54">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6F8EC087">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1DD8C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58E805D0">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6E47E">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5.质量管理</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CADC">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5.1教学管理队伍</w:t>
            </w:r>
          </w:p>
        </w:tc>
        <w:tc>
          <w:tcPr>
            <w:tcW w:w="2300" w:type="dxa"/>
            <w:vMerge w:val="restart"/>
            <w:tcBorders>
              <w:top w:val="single" w:color="000000" w:sz="4" w:space="0"/>
              <w:left w:val="single" w:color="000000" w:sz="4" w:space="0"/>
              <w:bottom w:val="nil"/>
              <w:right w:val="single" w:color="000000" w:sz="4" w:space="0"/>
            </w:tcBorders>
            <w:shd w:val="clear" w:color="auto" w:fill="auto"/>
            <w:vAlign w:val="center"/>
          </w:tcPr>
          <w:p w14:paraId="54BDB090">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教务处（4.教学建设与质量管理组）</w:t>
            </w:r>
          </w:p>
        </w:tc>
        <w:tc>
          <w:tcPr>
            <w:tcW w:w="1199" w:type="dxa"/>
            <w:vMerge w:val="restart"/>
            <w:tcBorders>
              <w:top w:val="single" w:color="000000" w:sz="4" w:space="0"/>
              <w:left w:val="single" w:color="000000" w:sz="4" w:space="0"/>
              <w:bottom w:val="nil"/>
              <w:right w:val="single" w:color="000000" w:sz="4" w:space="0"/>
            </w:tcBorders>
            <w:shd w:val="clear" w:color="auto" w:fill="auto"/>
            <w:vAlign w:val="center"/>
          </w:tcPr>
          <w:p w14:paraId="488A3D94">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阎登科</w:t>
            </w:r>
          </w:p>
        </w:tc>
        <w:tc>
          <w:tcPr>
            <w:tcW w:w="1199" w:type="dxa"/>
            <w:vMerge w:val="continue"/>
            <w:tcBorders>
              <w:left w:val="single" w:color="000000" w:sz="4" w:space="0"/>
              <w:right w:val="single" w:color="000000" w:sz="4" w:space="0"/>
            </w:tcBorders>
            <w:shd w:val="clear" w:color="auto" w:fill="auto"/>
            <w:vAlign w:val="center"/>
          </w:tcPr>
          <w:p w14:paraId="7713DE5D">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p>
        </w:tc>
      </w:tr>
      <w:tr w14:paraId="62AA4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338D8E7C">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B8619">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8D66E">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5.2质量监控</w:t>
            </w:r>
          </w:p>
        </w:tc>
        <w:tc>
          <w:tcPr>
            <w:tcW w:w="2300" w:type="dxa"/>
            <w:vMerge w:val="continue"/>
            <w:tcBorders>
              <w:top w:val="single" w:color="000000" w:sz="4" w:space="0"/>
              <w:left w:val="single" w:color="000000" w:sz="4" w:space="0"/>
              <w:bottom w:val="nil"/>
              <w:right w:val="single" w:color="000000" w:sz="4" w:space="0"/>
            </w:tcBorders>
            <w:shd w:val="clear" w:color="auto" w:fill="auto"/>
            <w:vAlign w:val="center"/>
          </w:tcPr>
          <w:p w14:paraId="247F4BB4">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nil"/>
              <w:right w:val="single" w:color="000000" w:sz="4" w:space="0"/>
            </w:tcBorders>
            <w:shd w:val="clear" w:color="auto" w:fill="auto"/>
            <w:vAlign w:val="center"/>
          </w:tcPr>
          <w:p w14:paraId="4FB2871D">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28E66BAC">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7354D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76489178">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DDCB4">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6.学风建设与学生指导</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43A3B">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6.1学风建设</w:t>
            </w:r>
          </w:p>
        </w:tc>
        <w:tc>
          <w:tcPr>
            <w:tcW w:w="2300" w:type="dxa"/>
            <w:vMerge w:val="restart"/>
            <w:tcBorders>
              <w:top w:val="single" w:color="000000" w:sz="4" w:space="0"/>
              <w:left w:val="single" w:color="000000" w:sz="4" w:space="0"/>
              <w:bottom w:val="nil"/>
              <w:right w:val="single" w:color="000000" w:sz="4" w:space="0"/>
            </w:tcBorders>
            <w:shd w:val="clear" w:color="auto" w:fill="auto"/>
            <w:vAlign w:val="center"/>
          </w:tcPr>
          <w:p w14:paraId="5D783026">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学工部（5.学风建设与学生工作组）</w:t>
            </w:r>
          </w:p>
        </w:tc>
        <w:tc>
          <w:tcPr>
            <w:tcW w:w="1199" w:type="dxa"/>
            <w:vMerge w:val="restart"/>
            <w:tcBorders>
              <w:top w:val="single" w:color="000000" w:sz="4" w:space="0"/>
              <w:left w:val="single" w:color="000000" w:sz="4" w:space="0"/>
              <w:bottom w:val="nil"/>
              <w:right w:val="single" w:color="000000" w:sz="4" w:space="0"/>
            </w:tcBorders>
            <w:shd w:val="clear" w:color="auto" w:fill="auto"/>
            <w:vAlign w:val="center"/>
          </w:tcPr>
          <w:p w14:paraId="43D1B2C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孙计萍</w:t>
            </w:r>
          </w:p>
        </w:tc>
        <w:tc>
          <w:tcPr>
            <w:tcW w:w="1199" w:type="dxa"/>
            <w:vMerge w:val="continue"/>
            <w:tcBorders>
              <w:left w:val="single" w:color="000000" w:sz="4" w:space="0"/>
              <w:right w:val="single" w:color="000000" w:sz="4" w:space="0"/>
            </w:tcBorders>
            <w:shd w:val="clear" w:color="auto" w:fill="auto"/>
            <w:vAlign w:val="center"/>
          </w:tcPr>
          <w:p w14:paraId="476B0CDF">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p>
        </w:tc>
      </w:tr>
      <w:tr w14:paraId="7B318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7DE11BFF">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FC045">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1EE5">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6.2指导与服务</w:t>
            </w:r>
          </w:p>
        </w:tc>
        <w:tc>
          <w:tcPr>
            <w:tcW w:w="2300" w:type="dxa"/>
            <w:vMerge w:val="continue"/>
            <w:tcBorders>
              <w:top w:val="single" w:color="000000" w:sz="4" w:space="0"/>
              <w:left w:val="single" w:color="000000" w:sz="4" w:space="0"/>
              <w:bottom w:val="nil"/>
              <w:right w:val="single" w:color="000000" w:sz="4" w:space="0"/>
            </w:tcBorders>
            <w:shd w:val="clear" w:color="auto" w:fill="auto"/>
            <w:vAlign w:val="center"/>
          </w:tcPr>
          <w:p w14:paraId="5A57DCB6">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nil"/>
              <w:right w:val="single" w:color="000000" w:sz="4" w:space="0"/>
            </w:tcBorders>
            <w:shd w:val="clear" w:color="auto" w:fill="auto"/>
            <w:vAlign w:val="center"/>
          </w:tcPr>
          <w:p w14:paraId="547C2523">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06E10F98">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7AF5E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6321FF88">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5E7A1">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7.教学质量</w:t>
            </w: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719BD">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7.1德育</w:t>
            </w:r>
          </w:p>
        </w:tc>
        <w:tc>
          <w:tcPr>
            <w:tcW w:w="2300" w:type="dxa"/>
            <w:vMerge w:val="continue"/>
            <w:tcBorders>
              <w:top w:val="single" w:color="000000" w:sz="4" w:space="0"/>
              <w:left w:val="single" w:color="000000" w:sz="4" w:space="0"/>
              <w:bottom w:val="nil"/>
              <w:right w:val="single" w:color="000000" w:sz="4" w:space="0"/>
            </w:tcBorders>
            <w:shd w:val="clear" w:color="auto" w:fill="auto"/>
            <w:vAlign w:val="center"/>
          </w:tcPr>
          <w:p w14:paraId="6B573C12">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nil"/>
              <w:right w:val="single" w:color="000000" w:sz="4" w:space="0"/>
            </w:tcBorders>
            <w:shd w:val="clear" w:color="auto" w:fill="auto"/>
            <w:vAlign w:val="center"/>
          </w:tcPr>
          <w:p w14:paraId="253A4862">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31FCC7ED">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25C10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39403BA2">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87CA6">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nil"/>
              <w:right w:val="single" w:color="000000" w:sz="4" w:space="0"/>
            </w:tcBorders>
            <w:shd w:val="clear" w:color="auto" w:fill="auto"/>
            <w:vAlign w:val="center"/>
          </w:tcPr>
          <w:p w14:paraId="4491A914">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7.2专业知识和能力</w:t>
            </w:r>
          </w:p>
        </w:tc>
        <w:tc>
          <w:tcPr>
            <w:tcW w:w="2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62D4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教务处（4.教学建设与质量管理组）</w:t>
            </w: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A6A5CE">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阎登科</w:t>
            </w:r>
          </w:p>
        </w:tc>
        <w:tc>
          <w:tcPr>
            <w:tcW w:w="1199" w:type="dxa"/>
            <w:vMerge w:val="continue"/>
            <w:tcBorders>
              <w:left w:val="single" w:color="000000" w:sz="4" w:space="0"/>
              <w:right w:val="single" w:color="000000" w:sz="4" w:space="0"/>
            </w:tcBorders>
            <w:shd w:val="clear" w:color="auto" w:fill="auto"/>
            <w:vAlign w:val="center"/>
          </w:tcPr>
          <w:p w14:paraId="7DB2C213">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p>
        </w:tc>
      </w:tr>
      <w:tr w14:paraId="2CF3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2FEF9229">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978C0">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C2C6">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7.3体育美育</w:t>
            </w: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D1028">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1580A">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right w:val="single" w:color="000000" w:sz="4" w:space="0"/>
            </w:tcBorders>
            <w:shd w:val="clear" w:color="auto" w:fill="auto"/>
            <w:vAlign w:val="center"/>
          </w:tcPr>
          <w:p w14:paraId="38EEADC4">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44C8C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1C36369E">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E08D7">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2907B">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7.4校内外评价</w:t>
            </w:r>
          </w:p>
        </w:tc>
        <w:tc>
          <w:tcPr>
            <w:tcW w:w="2300" w:type="dxa"/>
            <w:vMerge w:val="restart"/>
            <w:tcBorders>
              <w:top w:val="single" w:color="000000" w:sz="4" w:space="0"/>
              <w:left w:val="single" w:color="000000" w:sz="4" w:space="0"/>
              <w:bottom w:val="nil"/>
              <w:right w:val="single" w:color="000000" w:sz="4" w:space="0"/>
            </w:tcBorders>
            <w:shd w:val="clear" w:color="auto" w:fill="auto"/>
            <w:vAlign w:val="center"/>
          </w:tcPr>
          <w:p w14:paraId="6CD619F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学工部（5.学风建设与学生工作组）</w:t>
            </w:r>
          </w:p>
        </w:tc>
        <w:tc>
          <w:tcPr>
            <w:tcW w:w="1199" w:type="dxa"/>
            <w:vMerge w:val="restart"/>
            <w:tcBorders>
              <w:top w:val="single" w:color="000000" w:sz="4" w:space="0"/>
              <w:left w:val="single" w:color="000000" w:sz="4" w:space="0"/>
              <w:bottom w:val="nil"/>
              <w:right w:val="single" w:color="000000" w:sz="4" w:space="0"/>
            </w:tcBorders>
            <w:shd w:val="clear" w:color="auto" w:fill="auto"/>
            <w:vAlign w:val="center"/>
          </w:tcPr>
          <w:p w14:paraId="116C4692">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孙计萍</w:t>
            </w:r>
          </w:p>
        </w:tc>
        <w:tc>
          <w:tcPr>
            <w:tcW w:w="1199" w:type="dxa"/>
            <w:vMerge w:val="continue"/>
            <w:tcBorders>
              <w:left w:val="single" w:color="000000" w:sz="4" w:space="0"/>
              <w:right w:val="single" w:color="000000" w:sz="4" w:space="0"/>
            </w:tcBorders>
            <w:shd w:val="clear" w:color="auto" w:fill="auto"/>
            <w:vAlign w:val="center"/>
          </w:tcPr>
          <w:p w14:paraId="243EFE77">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p>
        </w:tc>
      </w:tr>
      <w:tr w14:paraId="2B57C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360" w:type="dxa"/>
            <w:vMerge w:val="continue"/>
            <w:tcBorders>
              <w:top w:val="nil"/>
              <w:left w:val="single" w:color="000000" w:sz="4" w:space="0"/>
              <w:bottom w:val="nil"/>
              <w:right w:val="single" w:color="000000" w:sz="4" w:space="0"/>
            </w:tcBorders>
            <w:shd w:val="clear" w:color="auto" w:fill="auto"/>
            <w:vAlign w:val="center"/>
          </w:tcPr>
          <w:p w14:paraId="22C338DB">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b/>
                <w:bCs/>
                <w:i w:val="0"/>
                <w:iCs w:val="0"/>
                <w:color w:val="000000"/>
                <w:sz w:val="28"/>
                <w:szCs w:val="28"/>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9BBAE">
            <w:pPr>
              <w:keepNext w:val="0"/>
              <w:keepLines w:val="0"/>
              <w:pageBreakBefore w:val="0"/>
              <w:widowControl/>
              <w:kinsoku/>
              <w:wordWrap/>
              <w:overflowPunct/>
              <w:topLinePunct w:val="0"/>
              <w:autoSpaceDE/>
              <w:autoSpaceDN/>
              <w:bidi w:val="0"/>
              <w:adjustRightInd/>
              <w:snapToGrid/>
              <w:spacing w:line="480" w:lineRule="exact"/>
              <w:jc w:val="left"/>
              <w:rPr>
                <w:rFonts w:hint="default" w:ascii="Times New Roman" w:hAnsi="Times New Roman" w:eastAsia="仿宋_GB2312" w:cs="Times New Roman"/>
                <w:i w:val="0"/>
                <w:iCs w:val="0"/>
                <w:color w:val="000000"/>
                <w:sz w:val="28"/>
                <w:szCs w:val="28"/>
                <w:u w:val="none"/>
              </w:rPr>
            </w:pPr>
          </w:p>
        </w:tc>
        <w:tc>
          <w:tcPr>
            <w:tcW w:w="2790" w:type="dxa"/>
            <w:tcBorders>
              <w:top w:val="single" w:color="000000" w:sz="4" w:space="0"/>
              <w:left w:val="single" w:color="000000" w:sz="4" w:space="0"/>
              <w:bottom w:val="nil"/>
              <w:right w:val="single" w:color="000000" w:sz="4" w:space="0"/>
            </w:tcBorders>
            <w:shd w:val="clear" w:color="auto" w:fill="auto"/>
            <w:vAlign w:val="center"/>
          </w:tcPr>
          <w:p w14:paraId="40059159">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7.5就业</w:t>
            </w:r>
          </w:p>
        </w:tc>
        <w:tc>
          <w:tcPr>
            <w:tcW w:w="2300" w:type="dxa"/>
            <w:vMerge w:val="continue"/>
            <w:tcBorders>
              <w:top w:val="single" w:color="000000" w:sz="4" w:space="0"/>
              <w:left w:val="single" w:color="000000" w:sz="4" w:space="0"/>
              <w:bottom w:val="nil"/>
              <w:right w:val="single" w:color="000000" w:sz="4" w:space="0"/>
            </w:tcBorders>
            <w:shd w:val="clear" w:color="auto" w:fill="auto"/>
            <w:vAlign w:val="center"/>
          </w:tcPr>
          <w:p w14:paraId="33E208C6">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top w:val="single" w:color="000000" w:sz="4" w:space="0"/>
              <w:left w:val="single" w:color="000000" w:sz="4" w:space="0"/>
              <w:bottom w:val="nil"/>
              <w:right w:val="single" w:color="000000" w:sz="4" w:space="0"/>
            </w:tcBorders>
            <w:shd w:val="clear" w:color="auto" w:fill="auto"/>
            <w:vAlign w:val="center"/>
          </w:tcPr>
          <w:p w14:paraId="71AE7076">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c>
          <w:tcPr>
            <w:tcW w:w="1199" w:type="dxa"/>
            <w:vMerge w:val="continue"/>
            <w:tcBorders>
              <w:left w:val="single" w:color="000000" w:sz="4" w:space="0"/>
              <w:bottom w:val="nil"/>
              <w:right w:val="single" w:color="000000" w:sz="4" w:space="0"/>
            </w:tcBorders>
            <w:shd w:val="clear" w:color="auto" w:fill="auto"/>
            <w:vAlign w:val="center"/>
          </w:tcPr>
          <w:p w14:paraId="5C56D713">
            <w:pPr>
              <w:keepNext w:val="0"/>
              <w:keepLines w:val="0"/>
              <w:pageBreakBefore w:val="0"/>
              <w:widowControl/>
              <w:kinsoku/>
              <w:wordWrap/>
              <w:overflowPunct/>
              <w:topLinePunct w:val="0"/>
              <w:autoSpaceDE/>
              <w:autoSpaceDN/>
              <w:bidi w:val="0"/>
              <w:adjustRightInd/>
              <w:snapToGrid/>
              <w:spacing w:line="480" w:lineRule="exact"/>
              <w:jc w:val="center"/>
              <w:rPr>
                <w:rFonts w:hint="default" w:ascii="Times New Roman" w:hAnsi="Times New Roman" w:eastAsia="仿宋_GB2312" w:cs="Times New Roman"/>
                <w:i w:val="0"/>
                <w:iCs w:val="0"/>
                <w:color w:val="000000"/>
                <w:sz w:val="28"/>
                <w:szCs w:val="28"/>
                <w:u w:val="none"/>
              </w:rPr>
            </w:pPr>
          </w:p>
        </w:tc>
      </w:tr>
      <w:tr w14:paraId="1C0DE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796A">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default" w:ascii="Times New Roman" w:hAnsi="Times New Roman" w:eastAsia="仿宋_GB2312" w:cs="Times New Roman"/>
                <w:b/>
                <w:bCs/>
                <w:i w:val="0"/>
                <w:iCs w:val="0"/>
                <w:color w:val="000000"/>
                <w:sz w:val="28"/>
                <w:szCs w:val="28"/>
                <w:u w:val="none"/>
              </w:rPr>
            </w:pPr>
            <w:r>
              <w:rPr>
                <w:rFonts w:hint="default" w:ascii="Times New Roman" w:hAnsi="Times New Roman" w:eastAsia="仿宋_GB2312" w:cs="Times New Roman"/>
                <w:b/>
                <w:bCs/>
                <w:i w:val="0"/>
                <w:iCs w:val="0"/>
                <w:color w:val="000000"/>
                <w:kern w:val="0"/>
                <w:sz w:val="28"/>
                <w:szCs w:val="28"/>
                <w:u w:val="none"/>
                <w:lang w:val="en-US" w:eastAsia="zh-CN" w:bidi="ar"/>
              </w:rPr>
              <w:t>第三部分  存在的问题及改进措施</w:t>
            </w:r>
          </w:p>
        </w:tc>
        <w:tc>
          <w:tcPr>
            <w:tcW w:w="34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AABBA">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sz w:val="28"/>
                <w:szCs w:val="28"/>
                <w:u w:val="none"/>
              </w:rPr>
            </w:pPr>
            <w:r>
              <w:rPr>
                <w:rFonts w:hint="default" w:ascii="Times New Roman" w:hAnsi="Times New Roman" w:eastAsia="仿宋_GB2312" w:cs="Times New Roman"/>
                <w:i w:val="0"/>
                <w:iCs w:val="0"/>
                <w:color w:val="000000"/>
                <w:kern w:val="0"/>
                <w:sz w:val="28"/>
                <w:szCs w:val="28"/>
                <w:u w:val="none"/>
                <w:lang w:val="en-US" w:eastAsia="zh-CN" w:bidi="ar"/>
              </w:rPr>
              <w:t>上述5个评建专项工作组</w:t>
            </w:r>
          </w:p>
        </w:tc>
        <w:tc>
          <w:tcPr>
            <w:tcW w:w="1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D7A51">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default" w:ascii="Times New Roman" w:hAnsi="Times New Roman" w:eastAsia="仿宋_GB2312" w:cs="Times New Roman"/>
                <w:i w:val="0"/>
                <w:iCs w:val="0"/>
                <w:color w:val="000000"/>
                <w:kern w:val="0"/>
                <w:sz w:val="28"/>
                <w:szCs w:val="28"/>
                <w:u w:val="none"/>
                <w:lang w:val="en-US" w:eastAsia="zh-CN" w:bidi="ar"/>
              </w:rPr>
            </w:pPr>
            <w:r>
              <w:rPr>
                <w:rFonts w:hint="default" w:ascii="Times New Roman" w:hAnsi="Times New Roman" w:eastAsia="仿宋_GB2312" w:cs="Times New Roman"/>
                <w:i w:val="0"/>
                <w:iCs w:val="0"/>
                <w:color w:val="000000"/>
                <w:kern w:val="0"/>
                <w:sz w:val="28"/>
                <w:szCs w:val="28"/>
                <w:u w:val="none"/>
                <w:lang w:val="en-US" w:eastAsia="zh-CN" w:bidi="ar"/>
              </w:rPr>
              <w:t>杨/迟</w:t>
            </w:r>
          </w:p>
        </w:tc>
      </w:tr>
    </w:tbl>
    <w:p w14:paraId="12A2A3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default" w:ascii="Times New Roman" w:hAnsi="Times New Roman" w:eastAsia="仿宋_GB2312" w:cs="Times New Roman"/>
          <w:kern w:val="0"/>
          <w:sz w:val="28"/>
          <w:szCs w:val="28"/>
          <w:highlight w:val="none"/>
          <w:lang w:val="en-US" w:eastAsia="zh-CN" w:bidi="ar"/>
        </w:rPr>
      </w:pPr>
      <w:r>
        <w:rPr>
          <w:rFonts w:hint="default" w:ascii="Times New Roman" w:hAnsi="Times New Roman" w:eastAsia="仿宋_GB2312" w:cs="Times New Roman"/>
          <w:kern w:val="0"/>
          <w:sz w:val="28"/>
          <w:szCs w:val="28"/>
          <w:highlight w:val="none"/>
          <w:lang w:val="en-US" w:eastAsia="zh-CN" w:bidi="ar"/>
        </w:rPr>
        <w:t>（39个观测点评建任务分解表详见</w:t>
      </w:r>
      <w:r>
        <w:rPr>
          <w:rFonts w:hint="default" w:ascii="Times New Roman" w:hAnsi="Times New Roman" w:eastAsia="仿宋_GB2312" w:cs="Times New Roman"/>
          <w:kern w:val="2"/>
          <w:sz w:val="28"/>
          <w:szCs w:val="28"/>
          <w:lang w:val="en-US" w:eastAsia="zh-CN"/>
        </w:rPr>
        <w:t>《合格评估实施方案》附件2</w:t>
      </w:r>
      <w:r>
        <w:rPr>
          <w:rFonts w:hint="default" w:ascii="Times New Roman" w:hAnsi="Times New Roman" w:eastAsia="仿宋_GB2312" w:cs="Times New Roman"/>
          <w:kern w:val="0"/>
          <w:sz w:val="28"/>
          <w:szCs w:val="28"/>
          <w:highlight w:val="none"/>
          <w:lang w:val="en-US" w:eastAsia="zh-CN" w:bidi="ar"/>
        </w:rPr>
        <w:t>）</w:t>
      </w:r>
    </w:p>
    <w:p w14:paraId="58CFC3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left"/>
        <w:textAlignment w:val="auto"/>
        <w:rPr>
          <w:rFonts w:hint="default" w:ascii="Times New Roman" w:hAnsi="Times New Roman" w:eastAsia="仿宋_GB2312" w:cs="Times New Roman"/>
          <w:kern w:val="0"/>
          <w:sz w:val="28"/>
          <w:szCs w:val="28"/>
          <w:highlight w:val="none"/>
          <w:lang w:val="en-US" w:eastAsia="zh-CN" w:bidi="ar"/>
        </w:rPr>
      </w:pPr>
      <w:bookmarkStart w:id="0" w:name="_GoBack"/>
      <w:bookmarkEnd w:id="0"/>
    </w:p>
    <w:p w14:paraId="3BF2EA8C">
      <w:pPr>
        <w:widowControl/>
        <w:numPr>
          <w:ilvl w:val="0"/>
          <w:numId w:val="1"/>
        </w:numPr>
        <w:spacing w:line="560" w:lineRule="exact"/>
        <w:ind w:firstLine="643" w:firstLineChars="200"/>
        <w:jc w:val="left"/>
        <w:rPr>
          <w:rFonts w:hint="default" w:ascii="黑体" w:hAnsi="黑体" w:eastAsia="黑体" w:cs="黑体"/>
          <w:b/>
          <w:kern w:val="0"/>
          <w:sz w:val="32"/>
          <w:szCs w:val="32"/>
          <w:lang w:val="en-US" w:eastAsia="zh-CN"/>
        </w:rPr>
      </w:pPr>
      <w:r>
        <w:rPr>
          <w:rFonts w:hint="default" w:ascii="黑体" w:hAnsi="黑体" w:eastAsia="黑体" w:cs="黑体"/>
          <w:b/>
          <w:kern w:val="0"/>
          <w:sz w:val="32"/>
          <w:szCs w:val="32"/>
          <w:lang w:val="en-US" w:eastAsia="zh-CN"/>
        </w:rPr>
        <w:t>撰写要求</w:t>
      </w:r>
    </w:p>
    <w:p w14:paraId="67542ABB">
      <w:pPr>
        <w:widowControl/>
        <w:numPr>
          <w:ilvl w:val="0"/>
          <w:numId w:val="2"/>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各单位在深入学习《合格评估指标体系及观测点内涵解读（参考）》《合格评估指标体系各观测点定量指标（参考）》（附件1-2）的基础上，</w:t>
      </w:r>
      <w:r>
        <w:rPr>
          <w:rFonts w:hint="default" w:ascii="Times New Roman" w:hAnsi="Times New Roman" w:eastAsia="仿宋_GB2312" w:cs="Times New Roman"/>
          <w:kern w:val="0"/>
          <w:sz w:val="32"/>
          <w:szCs w:val="32"/>
        </w:rPr>
        <w:t>按照</w:t>
      </w:r>
      <w:r>
        <w:rPr>
          <w:rFonts w:hint="default" w:ascii="Times New Roman" w:hAnsi="Times New Roman" w:eastAsia="仿宋_GB2312" w:cs="Times New Roman"/>
          <w:kern w:val="0"/>
          <w:sz w:val="32"/>
          <w:szCs w:val="32"/>
          <w:lang w:val="en-US" w:eastAsia="zh-CN"/>
        </w:rPr>
        <w:t>学校</w:t>
      </w:r>
      <w:r>
        <w:rPr>
          <w:rFonts w:hint="default" w:ascii="Times New Roman" w:hAnsi="Times New Roman" w:eastAsia="仿宋_GB2312" w:cs="Times New Roman"/>
          <w:kern w:val="0"/>
          <w:sz w:val="32"/>
          <w:szCs w:val="32"/>
        </w:rPr>
        <w:t>自评报告基本框架</w:t>
      </w:r>
      <w:r>
        <w:rPr>
          <w:rFonts w:hint="default" w:ascii="Times New Roman" w:hAnsi="Times New Roman" w:eastAsia="仿宋_GB2312" w:cs="Times New Roman"/>
          <w:kern w:val="0"/>
          <w:sz w:val="32"/>
          <w:szCs w:val="32"/>
          <w:lang w:val="en-US" w:eastAsia="zh-CN"/>
        </w:rPr>
        <w:t>进行</w:t>
      </w:r>
      <w:r>
        <w:rPr>
          <w:rFonts w:hint="eastAsia" w:ascii="Times New Roman" w:hAnsi="Times New Roman" w:eastAsia="仿宋_GB2312" w:cs="Times New Roman"/>
          <w:kern w:val="0"/>
          <w:sz w:val="32"/>
          <w:szCs w:val="32"/>
          <w:lang w:val="en-US" w:eastAsia="zh-CN"/>
        </w:rPr>
        <w:t>分块</w:t>
      </w:r>
      <w:r>
        <w:rPr>
          <w:rFonts w:hint="default" w:ascii="Times New Roman" w:hAnsi="Times New Roman" w:eastAsia="仿宋_GB2312" w:cs="Times New Roman"/>
          <w:kern w:val="0"/>
          <w:sz w:val="32"/>
          <w:szCs w:val="32"/>
          <w:lang w:val="en-US" w:eastAsia="zh-CN"/>
        </w:rPr>
        <w:t>内容撰写与自评报告支撑材料收集整理工作。</w:t>
      </w:r>
      <w:r>
        <w:rPr>
          <w:rFonts w:hint="eastAsia" w:ascii="Times New Roman" w:hAnsi="Times New Roman" w:eastAsia="仿宋_GB2312" w:cs="Times New Roman"/>
          <w:kern w:val="0"/>
          <w:sz w:val="32"/>
          <w:szCs w:val="32"/>
          <w:lang w:val="en-US" w:eastAsia="zh-CN"/>
        </w:rPr>
        <w:t>第二部分</w:t>
      </w:r>
      <w:r>
        <w:rPr>
          <w:rFonts w:hint="default" w:ascii="Times New Roman" w:hAnsi="Times New Roman" w:eastAsia="仿宋_GB2312" w:cs="Times New Roman"/>
          <w:kern w:val="0"/>
          <w:sz w:val="32"/>
          <w:szCs w:val="32"/>
          <w:lang w:val="en-US" w:eastAsia="zh-CN"/>
        </w:rPr>
        <w:t>需围绕39个观测点</w:t>
      </w:r>
      <w:r>
        <w:rPr>
          <w:rFonts w:hint="eastAsia" w:ascii="Times New Roman" w:hAnsi="Times New Roman" w:eastAsia="仿宋_GB2312" w:cs="Times New Roman"/>
          <w:kern w:val="0"/>
          <w:sz w:val="32"/>
          <w:szCs w:val="32"/>
          <w:lang w:val="en-US" w:eastAsia="zh-CN"/>
        </w:rPr>
        <w:t>，</w:t>
      </w:r>
      <w:r>
        <w:rPr>
          <w:rFonts w:hint="default" w:ascii="Times New Roman" w:hAnsi="Times New Roman" w:eastAsia="仿宋_GB2312" w:cs="Times New Roman"/>
          <w:kern w:val="0"/>
          <w:sz w:val="32"/>
          <w:szCs w:val="32"/>
          <w:lang w:val="en-US" w:eastAsia="zh-CN"/>
        </w:rPr>
        <w:t>遵循“理念—举措—成效”的逻辑框架进行撰写</w:t>
      </w:r>
      <w:r>
        <w:rPr>
          <w:rFonts w:hint="eastAsia" w:ascii="Times New Roman" w:hAnsi="Times New Roman" w:eastAsia="仿宋_GB2312" w:cs="Times New Roman"/>
          <w:kern w:val="0"/>
          <w:sz w:val="32"/>
          <w:szCs w:val="32"/>
          <w:lang w:val="en-US" w:eastAsia="zh-CN"/>
        </w:rPr>
        <w:t>。</w:t>
      </w:r>
    </w:p>
    <w:p w14:paraId="0C196F7B">
      <w:pPr>
        <w:widowControl/>
        <w:numPr>
          <w:ilvl w:val="0"/>
          <w:numId w:val="2"/>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上述表1中责任部门要做好分块内容的统筹、梳理和完善，控制好分块字数。5个评建专项工作组同时做好第三部分问题的提炼、原因分析和改进措施撰写工作。原则上合格评估7个一级指标都要形成1个主要问题，部分一级指标可以形成2个主要问题。</w:t>
      </w:r>
    </w:p>
    <w:p w14:paraId="34DB0F69">
      <w:pPr>
        <w:widowControl/>
        <w:numPr>
          <w:ilvl w:val="0"/>
          <w:numId w:val="2"/>
        </w:numPr>
        <w:spacing w:line="560" w:lineRule="exact"/>
        <w:ind w:left="0" w:leftChars="0" w:firstLine="640" w:firstLineChars="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自评报告第二部分按合格评估指标体系一级指标为</w:t>
      </w:r>
      <w:r>
        <w:rPr>
          <w:rFonts w:hint="default" w:ascii="Times New Roman" w:hAnsi="Times New Roman" w:eastAsia="仿宋_GB2312" w:cs="Times New Roman"/>
          <w:spacing w:val="-4"/>
          <w:kern w:val="0"/>
          <w:sz w:val="32"/>
          <w:szCs w:val="32"/>
        </w:rPr>
        <w:t>一级标题、</w:t>
      </w:r>
      <w:r>
        <w:rPr>
          <w:rFonts w:hint="default" w:ascii="Times New Roman" w:hAnsi="Times New Roman" w:eastAsia="仿宋_GB2312" w:cs="Times New Roman"/>
          <w:spacing w:val="-4"/>
          <w:kern w:val="0"/>
          <w:sz w:val="32"/>
          <w:szCs w:val="32"/>
          <w:lang w:val="en-US" w:eastAsia="zh-CN"/>
        </w:rPr>
        <w:t>二级指标</w:t>
      </w:r>
      <w:r>
        <w:rPr>
          <w:rFonts w:hint="default" w:ascii="Times New Roman" w:hAnsi="Times New Roman" w:eastAsia="仿宋_GB2312" w:cs="Times New Roman"/>
          <w:spacing w:val="-4"/>
          <w:kern w:val="0"/>
          <w:sz w:val="32"/>
          <w:szCs w:val="32"/>
        </w:rPr>
        <w:t>为二级标题、</w:t>
      </w:r>
      <w:r>
        <w:rPr>
          <w:rFonts w:hint="default" w:ascii="Times New Roman" w:hAnsi="Times New Roman" w:eastAsia="仿宋_GB2312" w:cs="Times New Roman"/>
          <w:spacing w:val="-4"/>
          <w:kern w:val="0"/>
          <w:sz w:val="32"/>
          <w:szCs w:val="32"/>
          <w:lang w:val="en-US" w:eastAsia="zh-CN"/>
        </w:rPr>
        <w:t>主要观测点</w:t>
      </w:r>
      <w:r>
        <w:rPr>
          <w:rFonts w:hint="default" w:ascii="Times New Roman" w:hAnsi="Times New Roman" w:eastAsia="仿宋_GB2312" w:cs="Times New Roman"/>
          <w:spacing w:val="-4"/>
          <w:kern w:val="0"/>
          <w:sz w:val="32"/>
          <w:szCs w:val="32"/>
        </w:rPr>
        <w:t>为三级标题的大纲形式撰写（编号为1、1.1、1.1.1）</w:t>
      </w:r>
      <w:r>
        <w:rPr>
          <w:rFonts w:hint="default" w:ascii="Times New Roman" w:hAnsi="Times New Roman" w:eastAsia="仿宋_GB2312" w:cs="Times New Roman"/>
          <w:spacing w:val="-4"/>
          <w:kern w:val="0"/>
          <w:sz w:val="32"/>
          <w:szCs w:val="32"/>
          <w:lang w:eastAsia="zh-CN"/>
        </w:rPr>
        <w:t>，</w:t>
      </w:r>
      <w:r>
        <w:rPr>
          <w:rFonts w:hint="default" w:ascii="Times New Roman" w:hAnsi="Times New Roman" w:eastAsia="仿宋_GB2312" w:cs="Times New Roman"/>
          <w:spacing w:val="-4"/>
          <w:kern w:val="0"/>
          <w:sz w:val="32"/>
          <w:szCs w:val="32"/>
        </w:rPr>
        <w:t>如有需要，可自行设置四级标题</w:t>
      </w:r>
      <w:r>
        <w:rPr>
          <w:rFonts w:hint="eastAsia" w:ascii="Times New Roman" w:hAnsi="Times New Roman" w:eastAsia="仿宋_GB2312" w:cs="Times New Roman"/>
          <w:spacing w:val="-4"/>
          <w:kern w:val="0"/>
          <w:sz w:val="32"/>
          <w:szCs w:val="32"/>
          <w:lang w:eastAsia="zh-CN"/>
        </w:rPr>
        <w:t>（</w:t>
      </w:r>
      <w:r>
        <w:rPr>
          <w:rFonts w:hint="default" w:ascii="Times New Roman" w:hAnsi="Times New Roman" w:eastAsia="仿宋_GB2312" w:cs="Times New Roman"/>
          <w:spacing w:val="-4"/>
          <w:kern w:val="0"/>
          <w:sz w:val="32"/>
          <w:szCs w:val="32"/>
        </w:rPr>
        <w:t>1.1.1</w:t>
      </w:r>
      <w:r>
        <w:rPr>
          <w:rFonts w:hint="eastAsia" w:ascii="Times New Roman" w:hAnsi="Times New Roman" w:eastAsia="仿宋_GB2312" w:cs="Times New Roman"/>
          <w:spacing w:val="-4"/>
          <w:kern w:val="0"/>
          <w:sz w:val="32"/>
          <w:szCs w:val="32"/>
          <w:lang w:val="en-US" w:eastAsia="zh-CN"/>
        </w:rPr>
        <w:t>.1、</w:t>
      </w:r>
      <w:r>
        <w:rPr>
          <w:rFonts w:hint="default" w:ascii="Times New Roman" w:hAnsi="Times New Roman" w:eastAsia="仿宋_GB2312" w:cs="Times New Roman"/>
          <w:spacing w:val="-4"/>
          <w:kern w:val="0"/>
          <w:sz w:val="32"/>
          <w:szCs w:val="32"/>
        </w:rPr>
        <w:t>1.1.1</w:t>
      </w:r>
      <w:r>
        <w:rPr>
          <w:rFonts w:hint="eastAsia" w:ascii="Times New Roman" w:hAnsi="Times New Roman" w:eastAsia="仿宋_GB2312" w:cs="Times New Roman"/>
          <w:spacing w:val="-4"/>
          <w:kern w:val="0"/>
          <w:sz w:val="32"/>
          <w:szCs w:val="32"/>
          <w:lang w:val="en-US" w:eastAsia="zh-CN"/>
        </w:rPr>
        <w:t>.2、</w:t>
      </w:r>
      <w:r>
        <w:rPr>
          <w:rFonts w:hint="default" w:ascii="Times New Roman" w:hAnsi="Times New Roman" w:eastAsia="仿宋_GB2312" w:cs="Times New Roman"/>
          <w:spacing w:val="-4"/>
          <w:kern w:val="0"/>
          <w:sz w:val="32"/>
          <w:szCs w:val="32"/>
        </w:rPr>
        <w:t>1.1.1</w:t>
      </w:r>
      <w:r>
        <w:rPr>
          <w:rFonts w:hint="eastAsia" w:ascii="Times New Roman" w:hAnsi="Times New Roman" w:eastAsia="仿宋_GB2312" w:cs="Times New Roman"/>
          <w:spacing w:val="-4"/>
          <w:kern w:val="0"/>
          <w:sz w:val="32"/>
          <w:szCs w:val="32"/>
          <w:lang w:val="en-US" w:eastAsia="zh-CN"/>
        </w:rPr>
        <w:t>.3</w:t>
      </w:r>
      <w:r>
        <w:rPr>
          <w:rFonts w:hint="eastAsia" w:ascii="Times New Roman" w:hAnsi="Times New Roman" w:eastAsia="仿宋_GB2312" w:cs="Times New Roman"/>
          <w:spacing w:val="-4"/>
          <w:kern w:val="0"/>
          <w:sz w:val="32"/>
          <w:szCs w:val="32"/>
          <w:lang w:eastAsia="zh-CN"/>
        </w:rPr>
        <w:t>）</w:t>
      </w:r>
      <w:r>
        <w:rPr>
          <w:rFonts w:hint="default" w:ascii="Times New Roman" w:hAnsi="Times New Roman" w:eastAsia="仿宋_GB2312" w:cs="Times New Roman"/>
          <w:spacing w:val="-4"/>
          <w:kern w:val="0"/>
          <w:sz w:val="32"/>
          <w:szCs w:val="32"/>
          <w:lang w:eastAsia="zh-CN"/>
        </w:rPr>
        <w:t>；</w:t>
      </w:r>
      <w:r>
        <w:rPr>
          <w:rFonts w:hint="default" w:ascii="Times New Roman" w:hAnsi="Times New Roman" w:eastAsia="仿宋_GB2312" w:cs="Times New Roman"/>
          <w:kern w:val="0"/>
          <w:sz w:val="32"/>
          <w:szCs w:val="32"/>
          <w:lang w:val="en-US" w:eastAsia="zh-CN"/>
        </w:rPr>
        <w:t>每个一级标题后要形成一个综述（100字左右），概括该一级指标的核心内容。</w:t>
      </w:r>
    </w:p>
    <w:p w14:paraId="42D055D4">
      <w:pPr>
        <w:widowControl/>
        <w:numPr>
          <w:ilvl w:val="0"/>
          <w:numId w:val="2"/>
        </w:numPr>
        <w:spacing w:line="560" w:lineRule="exact"/>
        <w:ind w:left="0" w:leftChars="0" w:firstLine="640" w:firstLineChars="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自评报告第三部分按提炼形成的问题为一级标题，“存在问题、原因分析、改进措施”为二级标题的大纲形式撰写（</w:t>
      </w:r>
      <w:r>
        <w:rPr>
          <w:rFonts w:hint="default" w:ascii="Times New Roman" w:hAnsi="Times New Roman" w:eastAsia="仿宋_GB2312" w:cs="Times New Roman"/>
          <w:spacing w:val="-4"/>
          <w:kern w:val="0"/>
          <w:sz w:val="32"/>
          <w:szCs w:val="32"/>
        </w:rPr>
        <w:t>编号为1、1.1</w:t>
      </w:r>
      <w:r>
        <w:rPr>
          <w:rFonts w:hint="default" w:ascii="Times New Roman" w:hAnsi="Times New Roman" w:eastAsia="仿宋_GB2312" w:cs="Times New Roman"/>
          <w:spacing w:val="-4"/>
          <w:kern w:val="0"/>
          <w:sz w:val="32"/>
          <w:szCs w:val="32"/>
          <w:lang w:val="en-US" w:eastAsia="zh-CN"/>
        </w:rPr>
        <w:t>/</w:t>
      </w:r>
      <w:r>
        <w:rPr>
          <w:rFonts w:hint="default" w:ascii="Times New Roman" w:hAnsi="Times New Roman" w:eastAsia="仿宋_GB2312" w:cs="Times New Roman"/>
          <w:spacing w:val="-4"/>
          <w:kern w:val="0"/>
          <w:sz w:val="32"/>
          <w:szCs w:val="32"/>
        </w:rPr>
        <w:t>1.</w:t>
      </w:r>
      <w:r>
        <w:rPr>
          <w:rFonts w:hint="default" w:ascii="Times New Roman" w:hAnsi="Times New Roman" w:eastAsia="仿宋_GB2312" w:cs="Times New Roman"/>
          <w:spacing w:val="-4"/>
          <w:kern w:val="0"/>
          <w:sz w:val="32"/>
          <w:szCs w:val="32"/>
          <w:lang w:val="en-US" w:eastAsia="zh-CN"/>
        </w:rPr>
        <w:t>2/</w:t>
      </w:r>
      <w:r>
        <w:rPr>
          <w:rFonts w:hint="default" w:ascii="Times New Roman" w:hAnsi="Times New Roman" w:eastAsia="仿宋_GB2312" w:cs="Times New Roman"/>
          <w:spacing w:val="-4"/>
          <w:kern w:val="0"/>
          <w:sz w:val="32"/>
          <w:szCs w:val="32"/>
        </w:rPr>
        <w:t>1</w:t>
      </w:r>
      <w:r>
        <w:rPr>
          <w:rFonts w:hint="default" w:ascii="Times New Roman" w:hAnsi="Times New Roman" w:eastAsia="仿宋_GB2312" w:cs="Times New Roman"/>
          <w:spacing w:val="-4"/>
          <w:kern w:val="0"/>
          <w:sz w:val="32"/>
          <w:szCs w:val="32"/>
          <w:lang w:val="en-US" w:eastAsia="zh-CN"/>
        </w:rPr>
        <w:t>.3</w:t>
      </w:r>
      <w:r>
        <w:rPr>
          <w:rFonts w:hint="default" w:ascii="Times New Roman" w:hAnsi="Times New Roman" w:eastAsia="仿宋_GB2312" w:cs="Times New Roman"/>
          <w:kern w:val="0"/>
          <w:sz w:val="32"/>
          <w:szCs w:val="32"/>
          <w:lang w:val="en-US" w:eastAsia="zh-CN"/>
        </w:rPr>
        <w:t>），如有需要，可设置三级标题（编号为1.1.1），不建议再设四级标题。要求问题提炼精准，原因剖析到位，改进措施切实可行。</w:t>
      </w:r>
    </w:p>
    <w:p w14:paraId="74411057">
      <w:pPr>
        <w:widowControl/>
        <w:numPr>
          <w:ilvl w:val="0"/>
          <w:numId w:val="2"/>
        </w:numPr>
        <w:spacing w:line="560" w:lineRule="exact"/>
        <w:ind w:left="0" w:leftChars="0" w:firstLine="640" w:firstLineChars="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lang w:val="en-US" w:eastAsia="zh-CN"/>
        </w:rPr>
        <w:t>自评报告要</w:t>
      </w:r>
      <w:r>
        <w:rPr>
          <w:rFonts w:hint="default" w:ascii="Times New Roman" w:hAnsi="Times New Roman" w:eastAsia="仿宋_GB2312" w:cs="Times New Roman"/>
          <w:kern w:val="0"/>
          <w:sz w:val="32"/>
          <w:szCs w:val="32"/>
        </w:rPr>
        <w:t>用事例和数据说话，</w:t>
      </w:r>
      <w:r>
        <w:rPr>
          <w:rFonts w:hint="default" w:ascii="Times New Roman" w:hAnsi="Times New Roman" w:eastAsia="仿宋_GB2312" w:cs="Times New Roman"/>
          <w:kern w:val="0"/>
          <w:sz w:val="32"/>
          <w:szCs w:val="32"/>
          <w:lang w:val="en-US" w:eastAsia="zh-CN"/>
        </w:rPr>
        <w:t>善用图表</w:t>
      </w:r>
      <w:r>
        <w:rPr>
          <w:rFonts w:hint="default" w:ascii="Times New Roman" w:hAnsi="Times New Roman" w:eastAsia="仿宋_GB2312" w:cs="Times New Roman"/>
          <w:kern w:val="0"/>
          <w:sz w:val="32"/>
          <w:szCs w:val="32"/>
        </w:rPr>
        <w:t>，须对数据有必要的分析和陈述，文本前后数据一致，</w:t>
      </w:r>
      <w:r>
        <w:rPr>
          <w:rFonts w:hint="default" w:ascii="Times New Roman" w:hAnsi="Times New Roman" w:eastAsia="仿宋_GB2312" w:cs="Times New Roman"/>
          <w:kern w:val="0"/>
          <w:sz w:val="32"/>
          <w:szCs w:val="32"/>
          <w:lang w:val="en-US" w:eastAsia="zh-CN"/>
        </w:rPr>
        <w:t>自评</w:t>
      </w:r>
      <w:r>
        <w:rPr>
          <w:rFonts w:hint="default" w:ascii="Times New Roman" w:hAnsi="Times New Roman" w:eastAsia="仿宋_GB2312" w:cs="Times New Roman"/>
          <w:kern w:val="0"/>
          <w:sz w:val="32"/>
          <w:szCs w:val="32"/>
        </w:rPr>
        <w:t>报告</w:t>
      </w:r>
      <w:r>
        <w:rPr>
          <w:rFonts w:hint="default" w:ascii="Times New Roman" w:hAnsi="Times New Roman" w:eastAsia="仿宋_GB2312" w:cs="Times New Roman"/>
          <w:kern w:val="0"/>
          <w:sz w:val="32"/>
          <w:szCs w:val="32"/>
          <w:lang w:val="en-US" w:eastAsia="zh-CN"/>
        </w:rPr>
        <w:t>和</w:t>
      </w:r>
      <w:r>
        <w:rPr>
          <w:rFonts w:hint="default" w:ascii="Times New Roman" w:hAnsi="Times New Roman" w:eastAsia="仿宋_GB2312" w:cs="Times New Roman"/>
          <w:kern w:val="0"/>
          <w:sz w:val="32"/>
          <w:szCs w:val="32"/>
        </w:rPr>
        <w:t>支撑材料</w:t>
      </w:r>
      <w:r>
        <w:rPr>
          <w:rFonts w:hint="default" w:ascii="Times New Roman" w:hAnsi="Times New Roman" w:eastAsia="仿宋_GB2312" w:cs="Times New Roman"/>
          <w:kern w:val="0"/>
          <w:sz w:val="32"/>
          <w:szCs w:val="32"/>
          <w:lang w:val="en-US" w:eastAsia="zh-CN"/>
        </w:rPr>
        <w:t>中相应数据要与</w:t>
      </w:r>
      <w:r>
        <w:rPr>
          <w:rFonts w:hint="eastAsia" w:ascii="Times New Roman" w:hAnsi="Times New Roman" w:eastAsia="仿宋_GB2312" w:cs="Times New Roman"/>
          <w:kern w:val="2"/>
          <w:sz w:val="32"/>
          <w:szCs w:val="32"/>
          <w:lang w:val="en-US" w:eastAsia="zh-CN"/>
        </w:rPr>
        <w:t>高等教育</w:t>
      </w:r>
      <w:r>
        <w:rPr>
          <w:rFonts w:hint="default" w:ascii="Times New Roman" w:hAnsi="Times New Roman" w:eastAsia="仿宋_GB2312" w:cs="Times New Roman"/>
          <w:kern w:val="2"/>
          <w:sz w:val="32"/>
          <w:szCs w:val="32"/>
          <w:lang w:val="en-US" w:eastAsia="zh-CN"/>
        </w:rPr>
        <w:t>质量监测数据</w:t>
      </w:r>
      <w:r>
        <w:rPr>
          <w:rFonts w:hint="default" w:ascii="Times New Roman" w:hAnsi="Times New Roman" w:eastAsia="仿宋_GB2312" w:cs="Times New Roman"/>
          <w:kern w:val="0"/>
          <w:sz w:val="32"/>
          <w:szCs w:val="32"/>
          <w:lang w:val="en-US" w:eastAsia="zh-CN"/>
        </w:rPr>
        <w:t>保持</w:t>
      </w:r>
      <w:r>
        <w:rPr>
          <w:rFonts w:hint="default" w:ascii="Times New Roman" w:hAnsi="Times New Roman" w:eastAsia="仿宋_GB2312" w:cs="Times New Roman"/>
          <w:kern w:val="0"/>
          <w:sz w:val="32"/>
          <w:szCs w:val="32"/>
        </w:rPr>
        <w:t>一致。</w:t>
      </w:r>
    </w:p>
    <w:p w14:paraId="22D40365">
      <w:pPr>
        <w:widowControl/>
        <w:numPr>
          <w:ilvl w:val="0"/>
          <w:numId w:val="2"/>
        </w:numPr>
        <w:spacing w:line="560" w:lineRule="exact"/>
        <w:ind w:left="0" w:leftChars="0" w:firstLine="640" w:firstLineChars="0"/>
        <w:jc w:val="left"/>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rPr>
        <w:t>自评报告文本格式参照学校通用文件排版格式执行，模板见附件3。</w:t>
      </w:r>
    </w:p>
    <w:p w14:paraId="0C2AAE61">
      <w:pPr>
        <w:widowControl/>
        <w:numPr>
          <w:ilvl w:val="0"/>
          <w:numId w:val="2"/>
        </w:numPr>
        <w:spacing w:line="560" w:lineRule="exact"/>
        <w:ind w:left="0" w:leftChars="0" w:firstLine="640" w:firstLineChars="0"/>
        <w:jc w:val="left"/>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lang w:val="en-US" w:eastAsia="zh-CN"/>
        </w:rPr>
        <w:t>二级学院自评报告参照学校要求执行，具体可根据实际情况进行调整。</w:t>
      </w:r>
    </w:p>
    <w:p w14:paraId="248B54E0">
      <w:pPr>
        <w:widowControl/>
        <w:numPr>
          <w:ilvl w:val="0"/>
          <w:numId w:val="1"/>
        </w:numPr>
        <w:spacing w:line="560" w:lineRule="exact"/>
        <w:ind w:firstLine="643" w:firstLineChars="200"/>
        <w:jc w:val="left"/>
        <w:rPr>
          <w:rFonts w:hint="default" w:ascii="黑体" w:hAnsi="黑体" w:eastAsia="黑体" w:cs="黑体"/>
          <w:b/>
          <w:kern w:val="0"/>
          <w:sz w:val="32"/>
          <w:szCs w:val="32"/>
          <w:lang w:val="en-US" w:eastAsia="zh-CN"/>
        </w:rPr>
      </w:pPr>
      <w:r>
        <w:rPr>
          <w:rFonts w:hint="default" w:ascii="黑体" w:hAnsi="黑体" w:eastAsia="黑体" w:cs="黑体"/>
          <w:b/>
          <w:kern w:val="0"/>
          <w:sz w:val="32"/>
          <w:szCs w:val="32"/>
          <w:lang w:val="en-US" w:eastAsia="zh-CN"/>
        </w:rPr>
        <w:t>支撑材料要求</w:t>
      </w:r>
    </w:p>
    <w:p w14:paraId="1C4CA261">
      <w:pPr>
        <w:widowControl/>
        <w:numPr>
          <w:ilvl w:val="0"/>
          <w:numId w:val="3"/>
        </w:numPr>
        <w:spacing w:line="560" w:lineRule="exact"/>
        <w:ind w:firstLine="640" w:firstLineChars="200"/>
        <w:jc w:val="left"/>
        <w:rPr>
          <w:rFonts w:hint="eastAsia" w:ascii="楷体_GB2312" w:hAnsi="楷体_GB2312" w:eastAsia="楷体_GB2312" w:cs="楷体_GB2312"/>
          <w:b w:val="0"/>
          <w:bCs w:val="0"/>
          <w:kern w:val="0"/>
          <w:sz w:val="32"/>
          <w:szCs w:val="32"/>
          <w:lang w:val="en-US" w:eastAsia="zh-CN"/>
        </w:rPr>
      </w:pPr>
      <w:r>
        <w:rPr>
          <w:rFonts w:hint="eastAsia" w:ascii="楷体_GB2312" w:hAnsi="楷体_GB2312" w:eastAsia="楷体_GB2312" w:cs="楷体_GB2312"/>
          <w:b w:val="0"/>
          <w:bCs w:val="0"/>
          <w:kern w:val="0"/>
          <w:sz w:val="32"/>
          <w:szCs w:val="32"/>
          <w:lang w:val="en-US" w:eastAsia="zh-CN"/>
        </w:rPr>
        <w:t>学校自评报告支撑材料</w:t>
      </w:r>
    </w:p>
    <w:p w14:paraId="5F9631EE">
      <w:pPr>
        <w:widowControl/>
        <w:numPr>
          <w:ilvl w:val="0"/>
          <w:numId w:val="4"/>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数据真实、准确，前后一致。近三学年（2024-2026）支撑数据必须与上报教育部的高等教育质量监测数据保持一致。</w:t>
      </w:r>
    </w:p>
    <w:p w14:paraId="27B962EE">
      <w:pPr>
        <w:widowControl/>
        <w:numPr>
          <w:ilvl w:val="0"/>
          <w:numId w:val="4"/>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对标自评报告“</w:t>
      </w:r>
      <w:r>
        <w:rPr>
          <w:rFonts w:hint="default" w:ascii="Times New Roman" w:hAnsi="Times New Roman" w:eastAsia="仿宋_GB2312" w:cs="Times New Roman"/>
          <w:b w:val="0"/>
          <w:bCs w:val="0"/>
          <w:kern w:val="2"/>
          <w:sz w:val="32"/>
          <w:szCs w:val="32"/>
          <w:lang w:val="en-US" w:eastAsia="zh-CN"/>
        </w:rPr>
        <w:t>第二部分 本科教学工作状况和主要成效</w:t>
      </w:r>
      <w:r>
        <w:rPr>
          <w:rFonts w:hint="default" w:ascii="Times New Roman" w:hAnsi="Times New Roman" w:eastAsia="仿宋_GB2312" w:cs="Times New Roman"/>
          <w:kern w:val="0"/>
          <w:sz w:val="32"/>
          <w:szCs w:val="32"/>
          <w:lang w:val="en-US" w:eastAsia="zh-CN"/>
        </w:rPr>
        <w:t>”形成学校自评报告支撑材料。各单位基于《合格评估自评报告支撑材料目录（参考）》（附件4），结合分块撰写内容，对支撑材料目录进行修改完善，由5个评建专项工作组进行分块汇总梳理，形成支撑材料目录。</w:t>
      </w:r>
    </w:p>
    <w:p w14:paraId="18DD6E77">
      <w:pPr>
        <w:widowControl/>
        <w:numPr>
          <w:ilvl w:val="0"/>
          <w:numId w:val="4"/>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highlight w:val="none"/>
          <w:lang w:val="en-US" w:eastAsia="zh-CN"/>
        </w:rPr>
        <w:t>支撑材料格式按学校档案管理要求执行</w:t>
      </w:r>
      <w:r>
        <w:rPr>
          <w:rFonts w:hint="default" w:ascii="Times New Roman" w:hAnsi="Times New Roman" w:eastAsia="仿宋_GB2312" w:cs="Times New Roman"/>
          <w:kern w:val="0"/>
          <w:sz w:val="32"/>
          <w:szCs w:val="32"/>
          <w:lang w:val="en-US" w:eastAsia="zh-CN"/>
        </w:rPr>
        <w:t>，业务档案按业务主管部门相关要求执行，教学档案按教学主管部门相关要求执行，无具体要求的支撑材料按学校本科教学合格评估工作指南中的“本科教学工作合格评估建档规范要求”</w:t>
      </w:r>
      <w:r>
        <w:rPr>
          <w:rFonts w:hint="eastAsia" w:ascii="Times New Roman" w:hAnsi="Times New Roman" w:eastAsia="仿宋_GB2312" w:cs="Times New Roman"/>
          <w:kern w:val="0"/>
          <w:sz w:val="32"/>
          <w:szCs w:val="32"/>
          <w:lang w:val="en-US" w:eastAsia="zh-CN"/>
        </w:rPr>
        <w:t>（附件5）</w:t>
      </w:r>
      <w:r>
        <w:rPr>
          <w:rFonts w:hint="default" w:ascii="Times New Roman" w:hAnsi="Times New Roman" w:eastAsia="仿宋_GB2312" w:cs="Times New Roman"/>
          <w:kern w:val="0"/>
          <w:sz w:val="32"/>
          <w:szCs w:val="32"/>
          <w:lang w:val="en-US" w:eastAsia="zh-CN"/>
        </w:rPr>
        <w:t>执行。</w:t>
      </w:r>
    </w:p>
    <w:p w14:paraId="2CE0580F">
      <w:pPr>
        <w:widowControl/>
        <w:numPr>
          <w:ilvl w:val="0"/>
          <w:numId w:val="3"/>
        </w:numPr>
        <w:spacing w:line="560" w:lineRule="exact"/>
        <w:ind w:firstLine="640" w:firstLineChars="200"/>
        <w:jc w:val="left"/>
        <w:rPr>
          <w:rFonts w:hint="default" w:ascii="楷体_GB2312" w:hAnsi="楷体_GB2312" w:eastAsia="楷体_GB2312" w:cs="楷体_GB2312"/>
          <w:b w:val="0"/>
          <w:bCs w:val="0"/>
          <w:kern w:val="0"/>
          <w:sz w:val="32"/>
          <w:szCs w:val="32"/>
          <w:lang w:val="en-US" w:eastAsia="zh-CN"/>
        </w:rPr>
      </w:pPr>
      <w:r>
        <w:rPr>
          <w:rFonts w:hint="default" w:ascii="楷体_GB2312" w:hAnsi="楷体_GB2312" w:eastAsia="楷体_GB2312" w:cs="楷体_GB2312"/>
          <w:b w:val="0"/>
          <w:bCs w:val="0"/>
          <w:kern w:val="0"/>
          <w:sz w:val="32"/>
          <w:szCs w:val="32"/>
          <w:lang w:val="en-US" w:eastAsia="zh-CN"/>
        </w:rPr>
        <w:t>合格评估14项支撑材料与专家案头材料</w:t>
      </w:r>
    </w:p>
    <w:p w14:paraId="2646465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这两项支撑材料按上级文件要求执行，参考要求见附件</w:t>
      </w:r>
      <w:r>
        <w:rPr>
          <w:rFonts w:hint="eastAsia" w:ascii="Times New Roman" w:hAnsi="Times New Roman" w:eastAsia="仿宋_GB2312" w:cs="Times New Roman"/>
          <w:kern w:val="0"/>
          <w:sz w:val="32"/>
          <w:szCs w:val="32"/>
          <w:lang w:val="en-US" w:eastAsia="zh-CN"/>
        </w:rPr>
        <w:t>6</w:t>
      </w:r>
      <w:r>
        <w:rPr>
          <w:rFonts w:hint="default" w:ascii="Times New Roman" w:hAnsi="Times New Roman" w:eastAsia="仿宋_GB2312" w:cs="Times New Roman"/>
          <w:kern w:val="0"/>
          <w:sz w:val="32"/>
          <w:szCs w:val="32"/>
          <w:lang w:val="en-US" w:eastAsia="zh-CN"/>
        </w:rPr>
        <w:t>，请材料提供部门提前进行准备。具体由评建办另行通知。</w:t>
      </w:r>
    </w:p>
    <w:p w14:paraId="10E62AF7">
      <w:pPr>
        <w:widowControl/>
        <w:numPr>
          <w:ilvl w:val="0"/>
          <w:numId w:val="1"/>
        </w:numPr>
        <w:spacing w:line="560" w:lineRule="exact"/>
        <w:ind w:firstLine="643" w:firstLineChars="200"/>
        <w:jc w:val="left"/>
        <w:rPr>
          <w:rFonts w:hint="default" w:ascii="黑体" w:hAnsi="黑体" w:eastAsia="黑体" w:cs="黑体"/>
          <w:b/>
          <w:kern w:val="0"/>
          <w:sz w:val="32"/>
          <w:szCs w:val="32"/>
          <w:lang w:val="en-US" w:eastAsia="zh-CN"/>
        </w:rPr>
      </w:pPr>
      <w:r>
        <w:rPr>
          <w:rFonts w:hint="default" w:ascii="黑体" w:hAnsi="黑体" w:eastAsia="黑体" w:cs="黑体"/>
          <w:b/>
          <w:kern w:val="0"/>
          <w:sz w:val="32"/>
          <w:szCs w:val="32"/>
          <w:lang w:val="en-US" w:eastAsia="zh-CN"/>
        </w:rPr>
        <w:t>工作进度</w:t>
      </w:r>
    </w:p>
    <w:p w14:paraId="577C6611">
      <w:pPr>
        <w:widowControl/>
        <w:numPr>
          <w:ilvl w:val="0"/>
          <w:numId w:val="0"/>
        </w:numPr>
        <w:spacing w:line="560" w:lineRule="exact"/>
        <w:ind w:left="640" w:leftChars="0"/>
        <w:jc w:val="left"/>
        <w:rPr>
          <w:rFonts w:hint="eastAsia" w:ascii="楷体_GB2312" w:hAnsi="楷体_GB2312" w:eastAsia="楷体_GB2312" w:cs="楷体_GB2312"/>
          <w:b w:val="0"/>
          <w:bCs w:val="0"/>
          <w:kern w:val="0"/>
          <w:sz w:val="32"/>
          <w:szCs w:val="32"/>
          <w:lang w:val="en-US" w:eastAsia="zh-CN"/>
        </w:rPr>
      </w:pPr>
      <w:r>
        <w:rPr>
          <w:rFonts w:hint="eastAsia" w:ascii="楷体_GB2312" w:hAnsi="楷体_GB2312" w:eastAsia="楷体_GB2312" w:cs="楷体_GB2312"/>
          <w:b w:val="0"/>
          <w:bCs w:val="0"/>
          <w:kern w:val="0"/>
          <w:sz w:val="32"/>
          <w:szCs w:val="32"/>
          <w:lang w:val="en-US" w:eastAsia="zh-CN"/>
        </w:rPr>
        <w:t>（一）形成初稿</w:t>
      </w:r>
    </w:p>
    <w:p w14:paraId="1A362DBD">
      <w:pPr>
        <w:widowControl/>
        <w:numPr>
          <w:ilvl w:val="0"/>
          <w:numId w:val="5"/>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10月10日前，合格评估指标体系</w:t>
      </w:r>
      <w:r>
        <w:rPr>
          <w:rFonts w:hint="default" w:ascii="Times New Roman" w:hAnsi="Times New Roman" w:eastAsia="仿宋_GB2312" w:cs="Times New Roman"/>
          <w:kern w:val="2"/>
          <w:sz w:val="32"/>
          <w:szCs w:val="32"/>
          <w:lang w:val="en-US" w:eastAsia="zh-CN"/>
        </w:rPr>
        <w:t>39个观测点对应“牵头部门”向对应评建专项工作组递交每个观测点的自评陈述，确定对应支撑材料目录，支撑材料留在原始单位。</w:t>
      </w:r>
    </w:p>
    <w:p w14:paraId="7C412C4E">
      <w:pPr>
        <w:widowControl/>
        <w:numPr>
          <w:ilvl w:val="0"/>
          <w:numId w:val="5"/>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10月24日前，上述表1中责任部门将分块自评报告、对应自评报告支撑材料目录递交评建办相应秘书，电子版递交。</w:t>
      </w:r>
    </w:p>
    <w:p w14:paraId="559AE046">
      <w:pPr>
        <w:widowControl/>
        <w:numPr>
          <w:ilvl w:val="0"/>
          <w:numId w:val="5"/>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11月7日前，评建办汇总、梳理、统稿，形成学校合格评估自评报告（初稿）、自评报告支撑材料目录（初稿）。</w:t>
      </w:r>
    </w:p>
    <w:p w14:paraId="100F6AB5">
      <w:pPr>
        <w:widowControl/>
        <w:numPr>
          <w:ilvl w:val="0"/>
          <w:numId w:val="0"/>
        </w:numPr>
        <w:spacing w:line="560" w:lineRule="exact"/>
        <w:ind w:left="640" w:leftChars="0"/>
        <w:jc w:val="left"/>
        <w:rPr>
          <w:rFonts w:hint="default" w:ascii="楷体_GB2312" w:hAnsi="楷体_GB2312" w:eastAsia="楷体_GB2312" w:cs="楷体_GB2312"/>
          <w:b w:val="0"/>
          <w:bCs w:val="0"/>
          <w:kern w:val="0"/>
          <w:sz w:val="32"/>
          <w:szCs w:val="32"/>
          <w:lang w:val="en-US" w:eastAsia="zh-CN"/>
        </w:rPr>
      </w:pPr>
      <w:r>
        <w:rPr>
          <w:rFonts w:hint="default" w:ascii="楷体_GB2312" w:hAnsi="楷体_GB2312" w:eastAsia="楷体_GB2312" w:cs="楷体_GB2312"/>
          <w:b w:val="0"/>
          <w:bCs w:val="0"/>
          <w:kern w:val="0"/>
          <w:sz w:val="32"/>
          <w:szCs w:val="32"/>
          <w:lang w:val="en-US" w:eastAsia="zh-CN"/>
        </w:rPr>
        <w:t>（二）打磨完善</w:t>
      </w:r>
    </w:p>
    <w:p w14:paraId="7F093A95">
      <w:pPr>
        <w:widowControl/>
        <w:numPr>
          <w:ilvl w:val="0"/>
          <w:numId w:val="5"/>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学校成立由</w:t>
      </w:r>
      <w:r>
        <w:rPr>
          <w:rFonts w:hint="eastAsia" w:ascii="Times New Roman" w:hAnsi="Times New Roman" w:eastAsia="仿宋_GB2312" w:cs="Times New Roman"/>
          <w:kern w:val="0"/>
          <w:sz w:val="32"/>
          <w:szCs w:val="32"/>
          <w:lang w:val="en-US" w:eastAsia="zh-CN"/>
        </w:rPr>
        <w:t>评建办主任</w:t>
      </w:r>
      <w:r>
        <w:rPr>
          <w:rFonts w:hint="default" w:ascii="Times New Roman" w:hAnsi="Times New Roman" w:eastAsia="仿宋_GB2312" w:cs="Times New Roman"/>
          <w:kern w:val="0"/>
          <w:sz w:val="32"/>
          <w:szCs w:val="32"/>
          <w:lang w:val="en-US" w:eastAsia="zh-CN"/>
        </w:rPr>
        <w:t>牵头的自评报告打磨工作组，成员包括阎登科、沈阳、周效东、黄旭、</w:t>
      </w:r>
      <w:r>
        <w:rPr>
          <w:rFonts w:hint="eastAsia" w:ascii="Times New Roman" w:hAnsi="Times New Roman" w:eastAsia="仿宋_GB2312" w:cs="Times New Roman"/>
          <w:kern w:val="0"/>
          <w:sz w:val="32"/>
          <w:szCs w:val="32"/>
          <w:lang w:val="en-US" w:eastAsia="zh-CN"/>
        </w:rPr>
        <w:t>尹怀斌、迟学旺、杨国庆</w:t>
      </w:r>
      <w:r>
        <w:rPr>
          <w:rFonts w:hint="default" w:ascii="Times New Roman" w:hAnsi="Times New Roman" w:eastAsia="仿宋_GB2312" w:cs="Times New Roman"/>
          <w:kern w:val="0"/>
          <w:sz w:val="32"/>
          <w:szCs w:val="32"/>
          <w:lang w:val="en-US" w:eastAsia="zh-CN"/>
        </w:rPr>
        <w:t>，负责对学校自评报告进行打磨完善。</w:t>
      </w:r>
    </w:p>
    <w:p w14:paraId="48341D94">
      <w:pPr>
        <w:widowControl/>
        <w:numPr>
          <w:ilvl w:val="0"/>
          <w:numId w:val="5"/>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根据今年下半年</w:t>
      </w:r>
      <w:r>
        <w:rPr>
          <w:rFonts w:hint="eastAsia" w:ascii="Times New Roman" w:hAnsi="Times New Roman" w:eastAsia="仿宋_GB2312" w:cs="Times New Roman"/>
          <w:kern w:val="0"/>
          <w:sz w:val="32"/>
          <w:szCs w:val="32"/>
          <w:lang w:val="en-US" w:eastAsia="zh-CN"/>
        </w:rPr>
        <w:t>高等教育</w:t>
      </w:r>
      <w:r>
        <w:rPr>
          <w:rFonts w:hint="default" w:ascii="Times New Roman" w:hAnsi="Times New Roman" w:eastAsia="仿宋_GB2312" w:cs="Times New Roman"/>
          <w:kern w:val="0"/>
          <w:sz w:val="32"/>
          <w:szCs w:val="32"/>
          <w:lang w:val="en-US" w:eastAsia="zh-CN"/>
        </w:rPr>
        <w:t>质量监测定稿数据，12月底前表1中责任部门分块更新自评报告相应数据，完善自评报告支撑材料目录，搜集整理形成自评报告支撑材料纸质版（初版），同步提交配套电子版材料至评建办。</w:t>
      </w:r>
    </w:p>
    <w:p w14:paraId="378ADE14">
      <w:pPr>
        <w:widowControl/>
        <w:numPr>
          <w:ilvl w:val="0"/>
          <w:numId w:val="0"/>
        </w:numPr>
        <w:spacing w:line="560" w:lineRule="exact"/>
        <w:ind w:left="640" w:leftChars="0"/>
        <w:jc w:val="left"/>
        <w:rPr>
          <w:rFonts w:hint="default" w:ascii="楷体_GB2312" w:hAnsi="楷体_GB2312" w:eastAsia="楷体_GB2312" w:cs="楷体_GB2312"/>
          <w:b w:val="0"/>
          <w:bCs w:val="0"/>
          <w:kern w:val="0"/>
          <w:sz w:val="32"/>
          <w:szCs w:val="32"/>
          <w:lang w:val="en-US" w:eastAsia="zh-CN"/>
        </w:rPr>
      </w:pPr>
      <w:r>
        <w:rPr>
          <w:rFonts w:hint="default" w:ascii="楷体_GB2312" w:hAnsi="楷体_GB2312" w:eastAsia="楷体_GB2312" w:cs="楷体_GB2312"/>
          <w:b w:val="0"/>
          <w:bCs w:val="0"/>
          <w:kern w:val="0"/>
          <w:sz w:val="32"/>
          <w:szCs w:val="32"/>
          <w:lang w:val="en-US" w:eastAsia="zh-CN"/>
        </w:rPr>
        <w:t>（三）形成1.0版</w:t>
      </w:r>
    </w:p>
    <w:p w14:paraId="098F9273">
      <w:pPr>
        <w:widowControl/>
        <w:numPr>
          <w:ilvl w:val="0"/>
          <w:numId w:val="5"/>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2026年1月形成学校自评报告1.0版、自评报告支撑材料1.0版，评建办统筹组织评建工作联络员完成自评报告支撑材料的装盒工作。</w:t>
      </w:r>
    </w:p>
    <w:p w14:paraId="4F83582D">
      <w:pPr>
        <w:widowControl/>
        <w:numPr>
          <w:ilvl w:val="0"/>
          <w:numId w:val="0"/>
        </w:numPr>
        <w:spacing w:line="560" w:lineRule="exact"/>
        <w:ind w:left="640" w:leftChars="0"/>
        <w:jc w:val="left"/>
        <w:rPr>
          <w:rFonts w:hint="default" w:ascii="楷体_GB2312" w:hAnsi="楷体_GB2312" w:eastAsia="楷体_GB2312" w:cs="楷体_GB2312"/>
          <w:b w:val="0"/>
          <w:bCs w:val="0"/>
          <w:kern w:val="0"/>
          <w:sz w:val="32"/>
          <w:szCs w:val="32"/>
          <w:lang w:val="en-US" w:eastAsia="zh-CN"/>
        </w:rPr>
      </w:pPr>
      <w:r>
        <w:rPr>
          <w:rFonts w:hint="default" w:ascii="楷体_GB2312" w:hAnsi="楷体_GB2312" w:eastAsia="楷体_GB2312" w:cs="楷体_GB2312"/>
          <w:b w:val="0"/>
          <w:bCs w:val="0"/>
          <w:kern w:val="0"/>
          <w:sz w:val="32"/>
          <w:szCs w:val="32"/>
          <w:lang w:val="en-US" w:eastAsia="zh-CN"/>
        </w:rPr>
        <w:t>（四）完善定稿</w:t>
      </w:r>
    </w:p>
    <w:p w14:paraId="69F49AD2">
      <w:pPr>
        <w:widowControl/>
        <w:numPr>
          <w:ilvl w:val="0"/>
          <w:numId w:val="5"/>
        </w:numPr>
        <w:spacing w:line="560" w:lineRule="exact"/>
        <w:ind w:left="0" w:leftChars="0" w:firstLine="640" w:firstLineChars="0"/>
        <w:jc w:val="left"/>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2026年3月—8月，根据预评估专家意见、评估工作建设与整改情况、评估当年高等教育质量监测数据更新情况等，评建办统筹组织各单位持续完善自评报告和支撑材料，2026年8月底前定稿学校自评报告和自评报告支撑材料。</w:t>
      </w:r>
    </w:p>
    <w:p w14:paraId="234C9B85">
      <w:pPr>
        <w:widowControl/>
        <w:numPr>
          <w:ilvl w:val="0"/>
          <w:numId w:val="0"/>
        </w:numPr>
        <w:spacing w:line="560" w:lineRule="exact"/>
        <w:ind w:left="640" w:leftChars="0"/>
        <w:jc w:val="left"/>
        <w:rPr>
          <w:rFonts w:hint="default" w:ascii="Times New Roman" w:hAnsi="Times New Roman" w:eastAsia="仿宋_GB2312" w:cs="Times New Roman"/>
          <w:kern w:val="0"/>
          <w:sz w:val="32"/>
          <w:szCs w:val="32"/>
          <w:lang w:val="en-US" w:eastAsia="zh-CN"/>
        </w:rPr>
      </w:pPr>
    </w:p>
    <w:p w14:paraId="0A0595BD">
      <w:pPr>
        <w:widowControl/>
        <w:spacing w:line="560" w:lineRule="exact"/>
        <w:ind w:firstLine="640" w:firstLineChars="200"/>
        <w:jc w:val="left"/>
        <w:rPr>
          <w:rFonts w:hint="default" w:ascii="Times New Roman" w:hAnsi="Times New Roman" w:eastAsia="仿宋_GB2312" w:cs="Times New Roman"/>
          <w:bCs/>
          <w:kern w:val="0"/>
          <w:sz w:val="32"/>
          <w:szCs w:val="32"/>
          <w:lang w:eastAsia="zh-CN"/>
        </w:rPr>
      </w:pPr>
      <w:r>
        <w:rPr>
          <w:rFonts w:hint="default" w:ascii="Times New Roman" w:hAnsi="Times New Roman" w:eastAsia="仿宋_GB2312" w:cs="Times New Roman"/>
          <w:bCs/>
          <w:kern w:val="0"/>
          <w:sz w:val="32"/>
          <w:szCs w:val="32"/>
        </w:rPr>
        <w:t>附件：1.合格评估指标体系及观测点内涵解读</w:t>
      </w:r>
      <w:r>
        <w:rPr>
          <w:rFonts w:hint="default" w:ascii="Times New Roman" w:hAnsi="Times New Roman" w:eastAsia="仿宋_GB2312" w:cs="Times New Roman"/>
          <w:bCs/>
          <w:kern w:val="0"/>
          <w:sz w:val="32"/>
          <w:szCs w:val="32"/>
          <w:lang w:eastAsia="zh-CN"/>
        </w:rPr>
        <w:t>（</w:t>
      </w:r>
      <w:r>
        <w:rPr>
          <w:rFonts w:hint="default" w:ascii="Times New Roman" w:hAnsi="Times New Roman" w:eastAsia="仿宋_GB2312" w:cs="Times New Roman"/>
          <w:bCs/>
          <w:kern w:val="0"/>
          <w:sz w:val="32"/>
          <w:szCs w:val="32"/>
          <w:lang w:val="en-US" w:eastAsia="zh-CN"/>
        </w:rPr>
        <w:t>参考</w:t>
      </w:r>
      <w:r>
        <w:rPr>
          <w:rFonts w:hint="default" w:ascii="Times New Roman" w:hAnsi="Times New Roman" w:eastAsia="仿宋_GB2312" w:cs="Times New Roman"/>
          <w:bCs/>
          <w:kern w:val="0"/>
          <w:sz w:val="32"/>
          <w:szCs w:val="32"/>
          <w:lang w:eastAsia="zh-CN"/>
        </w:rPr>
        <w:t>）</w:t>
      </w:r>
    </w:p>
    <w:p w14:paraId="7DB0DEFF">
      <w:pPr>
        <w:widowControl/>
        <w:spacing w:line="560" w:lineRule="exact"/>
        <w:ind w:firstLine="1600" w:firstLineChars="500"/>
        <w:jc w:val="left"/>
        <w:rPr>
          <w:rFonts w:hint="default" w:ascii="Times New Roman" w:hAnsi="Times New Roman" w:eastAsia="仿宋_GB2312" w:cs="Times New Roman"/>
          <w:bCs/>
          <w:spacing w:val="-4"/>
          <w:kern w:val="0"/>
          <w:sz w:val="32"/>
          <w:szCs w:val="32"/>
        </w:rPr>
      </w:pPr>
      <w:r>
        <w:rPr>
          <w:rFonts w:hint="default" w:ascii="Times New Roman" w:hAnsi="Times New Roman" w:eastAsia="仿宋_GB2312" w:cs="Times New Roman"/>
          <w:bCs/>
          <w:kern w:val="0"/>
          <w:sz w:val="32"/>
          <w:szCs w:val="32"/>
        </w:rPr>
        <w:t>2.</w:t>
      </w:r>
      <w:r>
        <w:rPr>
          <w:rFonts w:hint="default" w:ascii="Times New Roman" w:hAnsi="Times New Roman" w:eastAsia="仿宋_GB2312" w:cs="Times New Roman"/>
          <w:bCs/>
          <w:spacing w:val="-4"/>
          <w:kern w:val="0"/>
          <w:sz w:val="32"/>
          <w:szCs w:val="32"/>
        </w:rPr>
        <w:t>合格评估指标体系各观测点定量指标（参考）</w:t>
      </w:r>
    </w:p>
    <w:p w14:paraId="617A53CA">
      <w:pPr>
        <w:widowControl/>
        <w:spacing w:line="560" w:lineRule="exact"/>
        <w:ind w:firstLine="1560" w:firstLineChars="500"/>
        <w:jc w:val="left"/>
        <w:rPr>
          <w:rFonts w:hint="default" w:ascii="Times New Roman" w:hAnsi="Times New Roman" w:eastAsia="仿宋_GB2312" w:cs="Times New Roman"/>
          <w:bCs/>
          <w:spacing w:val="-4"/>
          <w:kern w:val="0"/>
          <w:sz w:val="32"/>
          <w:szCs w:val="32"/>
          <w:lang w:val="en-US" w:eastAsia="zh-CN"/>
        </w:rPr>
      </w:pPr>
      <w:r>
        <w:rPr>
          <w:rFonts w:hint="default" w:ascii="Times New Roman" w:hAnsi="Times New Roman" w:eastAsia="仿宋_GB2312" w:cs="Times New Roman"/>
          <w:bCs/>
          <w:spacing w:val="-4"/>
          <w:kern w:val="0"/>
          <w:sz w:val="32"/>
          <w:szCs w:val="32"/>
          <w:lang w:val="en-US" w:eastAsia="zh-CN"/>
        </w:rPr>
        <w:t>3.合格评估自评报告模板（参考）</w:t>
      </w:r>
    </w:p>
    <w:p w14:paraId="53B97ADE">
      <w:pPr>
        <w:widowControl/>
        <w:spacing w:line="560" w:lineRule="exact"/>
        <w:ind w:left="1916" w:leftChars="760" w:hanging="320" w:hangingChars="100"/>
        <w:jc w:val="left"/>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lang w:val="en-US" w:eastAsia="zh-CN"/>
        </w:rPr>
        <w:t>4</w:t>
      </w:r>
      <w:r>
        <w:rPr>
          <w:rFonts w:hint="default" w:ascii="Times New Roman" w:hAnsi="Times New Roman" w:eastAsia="仿宋_GB2312" w:cs="Times New Roman"/>
          <w:bCs/>
          <w:kern w:val="0"/>
          <w:sz w:val="32"/>
          <w:szCs w:val="32"/>
        </w:rPr>
        <w:t>.合格评估自评报告支撑材料目录（参考）</w:t>
      </w:r>
    </w:p>
    <w:p w14:paraId="4663212C">
      <w:pPr>
        <w:widowControl/>
        <w:spacing w:line="560" w:lineRule="exact"/>
        <w:ind w:left="1916" w:leftChars="760" w:hanging="320" w:hangingChars="100"/>
        <w:jc w:val="left"/>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lang w:val="en-US" w:eastAsia="zh-CN"/>
        </w:rPr>
        <w:t>5.</w:t>
      </w:r>
      <w:r>
        <w:rPr>
          <w:rFonts w:hint="default" w:ascii="Times New Roman" w:hAnsi="Times New Roman" w:eastAsia="仿宋_GB2312" w:cs="Times New Roman"/>
          <w:kern w:val="0"/>
          <w:sz w:val="32"/>
          <w:szCs w:val="32"/>
          <w:lang w:val="en-US" w:eastAsia="zh-CN"/>
        </w:rPr>
        <w:t>本科教学工作合格评估建档规范要求</w:t>
      </w:r>
    </w:p>
    <w:p w14:paraId="41B79DAE">
      <w:pPr>
        <w:widowControl/>
        <w:spacing w:line="560" w:lineRule="exact"/>
        <w:ind w:left="1916" w:leftChars="760" w:hanging="320" w:hangingChars="100"/>
        <w:jc w:val="left"/>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bCs/>
          <w:kern w:val="0"/>
          <w:sz w:val="32"/>
          <w:szCs w:val="32"/>
          <w:lang w:val="en-US" w:eastAsia="zh-CN"/>
        </w:rPr>
        <w:t>6</w:t>
      </w:r>
      <w:r>
        <w:rPr>
          <w:rFonts w:hint="default" w:ascii="Times New Roman" w:hAnsi="Times New Roman" w:eastAsia="仿宋_GB2312" w:cs="Times New Roman"/>
          <w:bCs/>
          <w:kern w:val="0"/>
          <w:sz w:val="32"/>
          <w:szCs w:val="32"/>
          <w:lang w:val="en-US" w:eastAsia="zh-CN"/>
        </w:rPr>
        <w:t>.合格评估</w:t>
      </w:r>
      <w:r>
        <w:rPr>
          <w:rFonts w:hint="default" w:ascii="Times New Roman" w:hAnsi="Times New Roman" w:eastAsia="仿宋_GB2312" w:cs="Times New Roman"/>
          <w:kern w:val="0"/>
          <w:sz w:val="32"/>
          <w:szCs w:val="32"/>
          <w:lang w:val="en-US" w:eastAsia="zh-CN"/>
        </w:rPr>
        <w:t>14项支撑材料与专家案头材料（参考）</w:t>
      </w:r>
    </w:p>
    <w:p w14:paraId="20DF2267">
      <w:pPr>
        <w:widowControl/>
        <w:spacing w:line="560" w:lineRule="exact"/>
        <w:ind w:firstLine="640" w:firstLineChars="200"/>
        <w:jc w:val="left"/>
        <w:rPr>
          <w:rFonts w:hint="default" w:ascii="Times New Roman" w:hAnsi="Times New Roman" w:eastAsia="仿宋_GB2312" w:cs="Times New Roman"/>
          <w:bCs/>
          <w:kern w:val="0"/>
          <w:sz w:val="32"/>
          <w:szCs w:val="32"/>
        </w:rPr>
      </w:pPr>
    </w:p>
    <w:p w14:paraId="7DEC07B7">
      <w:pPr>
        <w:widowControl/>
        <w:spacing w:line="560" w:lineRule="exact"/>
        <w:ind w:firstLine="640" w:firstLineChars="200"/>
        <w:jc w:val="left"/>
        <w:rPr>
          <w:rFonts w:hint="default" w:ascii="Times New Roman" w:hAnsi="Times New Roman" w:eastAsia="仿宋_GB2312" w:cs="Times New Roman"/>
          <w:bCs/>
          <w:kern w:val="0"/>
          <w:sz w:val="32"/>
          <w:szCs w:val="32"/>
        </w:rPr>
      </w:pPr>
    </w:p>
    <w:p w14:paraId="79B95116">
      <w:pPr>
        <w:widowControl/>
        <w:spacing w:line="560" w:lineRule="exact"/>
        <w:ind w:firstLine="640" w:firstLineChars="200"/>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lang w:val="en-US" w:eastAsia="zh-CN"/>
        </w:rPr>
        <w:t xml:space="preserve">                 </w:t>
      </w:r>
      <w:r>
        <w:rPr>
          <w:rFonts w:hint="default" w:ascii="Times New Roman" w:hAnsi="Times New Roman" w:eastAsia="仿宋_GB2312" w:cs="Times New Roman"/>
          <w:bCs/>
          <w:kern w:val="0"/>
          <w:sz w:val="32"/>
          <w:szCs w:val="32"/>
        </w:rPr>
        <w:t>湖州学院</w:t>
      </w:r>
      <w:r>
        <w:rPr>
          <w:rFonts w:hint="default" w:ascii="Times New Roman" w:hAnsi="Times New Roman" w:eastAsia="仿宋_GB2312" w:cs="Times New Roman"/>
          <w:bCs/>
          <w:kern w:val="0"/>
          <w:sz w:val="32"/>
          <w:szCs w:val="32"/>
          <w:lang w:val="en-US" w:eastAsia="zh-CN"/>
        </w:rPr>
        <w:t>评建工作</w:t>
      </w:r>
      <w:r>
        <w:rPr>
          <w:rFonts w:hint="default" w:ascii="Times New Roman" w:hAnsi="Times New Roman" w:eastAsia="仿宋_GB2312" w:cs="Times New Roman"/>
          <w:bCs/>
          <w:kern w:val="0"/>
          <w:sz w:val="32"/>
          <w:szCs w:val="32"/>
        </w:rPr>
        <w:t>办公室</w:t>
      </w:r>
    </w:p>
    <w:p w14:paraId="06214FA1">
      <w:pPr>
        <w:widowControl/>
        <w:spacing w:line="560" w:lineRule="exact"/>
        <w:ind w:right="1280" w:firstLine="640" w:firstLineChars="200"/>
        <w:jc w:val="right"/>
        <w:rPr>
          <w:rFonts w:hint="default" w:ascii="Times New Roman" w:hAnsi="Times New Roman" w:eastAsia="仿宋_GB2312" w:cs="Times New Roman"/>
          <w:b/>
          <w:kern w:val="0"/>
          <w:sz w:val="32"/>
          <w:szCs w:val="32"/>
        </w:rPr>
      </w:pPr>
      <w:r>
        <w:rPr>
          <w:rFonts w:hint="default" w:ascii="Times New Roman" w:hAnsi="Times New Roman" w:eastAsia="仿宋_GB2312" w:cs="Times New Roman"/>
          <w:bCs/>
          <w:kern w:val="0"/>
          <w:sz w:val="32"/>
          <w:szCs w:val="32"/>
          <w:lang w:val="en-US" w:eastAsia="zh-CN"/>
        </w:rPr>
        <w:t xml:space="preserve">  </w:t>
      </w:r>
      <w:r>
        <w:rPr>
          <w:rFonts w:hint="default" w:ascii="Times New Roman" w:hAnsi="Times New Roman" w:eastAsia="仿宋_GB2312" w:cs="Times New Roman"/>
          <w:bCs/>
          <w:kern w:val="0"/>
          <w:sz w:val="32"/>
          <w:szCs w:val="32"/>
        </w:rPr>
        <w:t>20</w:t>
      </w:r>
      <w:r>
        <w:rPr>
          <w:rFonts w:hint="default" w:ascii="Times New Roman" w:hAnsi="Times New Roman" w:eastAsia="仿宋_GB2312" w:cs="Times New Roman"/>
          <w:bCs/>
          <w:kern w:val="0"/>
          <w:sz w:val="32"/>
          <w:szCs w:val="32"/>
          <w:lang w:val="en-US" w:eastAsia="zh-CN"/>
        </w:rPr>
        <w:t>25</w:t>
      </w:r>
      <w:r>
        <w:rPr>
          <w:rFonts w:hint="default" w:ascii="Times New Roman" w:hAnsi="Times New Roman" w:eastAsia="仿宋_GB2312" w:cs="Times New Roman"/>
          <w:bCs/>
          <w:kern w:val="0"/>
          <w:sz w:val="32"/>
          <w:szCs w:val="32"/>
        </w:rPr>
        <w:t>年</w:t>
      </w:r>
      <w:r>
        <w:rPr>
          <w:rFonts w:hint="eastAsia" w:ascii="Times New Roman" w:hAnsi="Times New Roman" w:eastAsia="仿宋_GB2312" w:cs="Times New Roman"/>
          <w:bCs/>
          <w:kern w:val="0"/>
          <w:sz w:val="32"/>
          <w:szCs w:val="32"/>
          <w:lang w:val="en-US" w:eastAsia="zh-CN"/>
        </w:rPr>
        <w:t>5</w:t>
      </w:r>
      <w:r>
        <w:rPr>
          <w:rFonts w:hint="default" w:ascii="Times New Roman" w:hAnsi="Times New Roman" w:eastAsia="仿宋_GB2312" w:cs="Times New Roman"/>
          <w:bCs/>
          <w:kern w:val="0"/>
          <w:sz w:val="32"/>
          <w:szCs w:val="32"/>
        </w:rPr>
        <w:t>月</w:t>
      </w:r>
      <w:r>
        <w:rPr>
          <w:rFonts w:hint="eastAsia" w:ascii="Times New Roman" w:hAnsi="Times New Roman" w:eastAsia="仿宋_GB2312" w:cs="Times New Roman"/>
          <w:bCs/>
          <w:kern w:val="0"/>
          <w:sz w:val="32"/>
          <w:szCs w:val="32"/>
          <w:lang w:val="en-US" w:eastAsia="zh-CN"/>
        </w:rPr>
        <w:t>7</w:t>
      </w:r>
      <w:r>
        <w:rPr>
          <w:rFonts w:hint="default" w:ascii="Times New Roman" w:hAnsi="Times New Roman" w:eastAsia="仿宋_GB2312" w:cs="Times New Roman"/>
          <w:bCs/>
          <w:kern w:val="0"/>
          <w:sz w:val="32"/>
          <w:szCs w:val="32"/>
        </w:rPr>
        <w:t>日</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2F2E8">
    <w:pPr>
      <w:pStyle w:val="3"/>
      <w:framePr w:wrap="around" w:vAnchor="text" w:hAnchor="margin" w:xAlign="center" w:y="1"/>
      <w:rPr>
        <w:rStyle w:val="8"/>
        <w:rFonts w:ascii="Times New Roman" w:hAnsi="Times New Roman"/>
      </w:rPr>
    </w:pPr>
    <w:r>
      <w:rPr>
        <w:rStyle w:val="8"/>
        <w:rFonts w:ascii="Times New Roman" w:hAnsi="Times New Roman"/>
      </w:rPr>
      <w:fldChar w:fldCharType="begin"/>
    </w:r>
    <w:r>
      <w:rPr>
        <w:rStyle w:val="8"/>
        <w:rFonts w:ascii="Times New Roman" w:hAnsi="Times New Roman"/>
      </w:rPr>
      <w:instrText xml:space="preserve">PAGE  </w:instrText>
    </w:r>
    <w:r>
      <w:rPr>
        <w:rStyle w:val="8"/>
        <w:rFonts w:ascii="Times New Roman" w:hAnsi="Times New Roman"/>
      </w:rPr>
      <w:fldChar w:fldCharType="separate"/>
    </w:r>
    <w:r>
      <w:rPr>
        <w:rStyle w:val="8"/>
        <w:rFonts w:ascii="Times New Roman" w:hAnsi="Times New Roman"/>
      </w:rPr>
      <w:t>7</w:t>
    </w:r>
    <w:r>
      <w:rPr>
        <w:rStyle w:val="8"/>
        <w:rFonts w:ascii="Times New Roman" w:hAnsi="Times New Roman"/>
      </w:rPr>
      <w:fldChar w:fldCharType="end"/>
    </w:r>
  </w:p>
  <w:p w14:paraId="7167A93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A6EE6">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589921AE">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9AEE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5469E"/>
    <w:multiLevelType w:val="singleLevel"/>
    <w:tmpl w:val="9955469E"/>
    <w:lvl w:ilvl="0" w:tentative="0">
      <w:start w:val="1"/>
      <w:numFmt w:val="decimal"/>
      <w:suff w:val="nothing"/>
      <w:lvlText w:val="%1."/>
      <w:lvlJc w:val="left"/>
      <w:pPr>
        <w:ind w:left="0" w:firstLine="640"/>
      </w:pPr>
      <w:rPr>
        <w:rFonts w:hint="default"/>
      </w:rPr>
    </w:lvl>
  </w:abstractNum>
  <w:abstractNum w:abstractNumId="1">
    <w:nsid w:val="C0A39D87"/>
    <w:multiLevelType w:val="singleLevel"/>
    <w:tmpl w:val="C0A39D87"/>
    <w:lvl w:ilvl="0" w:tentative="0">
      <w:start w:val="1"/>
      <w:numFmt w:val="decimal"/>
      <w:suff w:val="nothing"/>
      <w:lvlText w:val="%1."/>
      <w:lvlJc w:val="left"/>
      <w:pPr>
        <w:ind w:left="0" w:firstLine="640"/>
      </w:pPr>
      <w:rPr>
        <w:rFonts w:hint="default"/>
      </w:rPr>
    </w:lvl>
  </w:abstractNum>
  <w:abstractNum w:abstractNumId="2">
    <w:nsid w:val="E172AC06"/>
    <w:multiLevelType w:val="singleLevel"/>
    <w:tmpl w:val="E172AC06"/>
    <w:lvl w:ilvl="0" w:tentative="0">
      <w:start w:val="1"/>
      <w:numFmt w:val="decimal"/>
      <w:suff w:val="nothing"/>
      <w:lvlText w:val="%1."/>
      <w:lvlJc w:val="left"/>
      <w:pPr>
        <w:ind w:left="0" w:firstLine="640"/>
      </w:pPr>
      <w:rPr>
        <w:rFonts w:hint="default"/>
      </w:rPr>
    </w:lvl>
  </w:abstractNum>
  <w:abstractNum w:abstractNumId="3">
    <w:nsid w:val="383AD4A1"/>
    <w:multiLevelType w:val="singleLevel"/>
    <w:tmpl w:val="383AD4A1"/>
    <w:lvl w:ilvl="0" w:tentative="0">
      <w:start w:val="1"/>
      <w:numFmt w:val="chineseCounting"/>
      <w:suff w:val="nothing"/>
      <w:lvlText w:val="（%1）"/>
      <w:lvlJc w:val="left"/>
      <w:rPr>
        <w:rFonts w:hint="eastAsia"/>
      </w:rPr>
    </w:lvl>
  </w:abstractNum>
  <w:abstractNum w:abstractNumId="4">
    <w:nsid w:val="39F70F37"/>
    <w:multiLevelType w:val="singleLevel"/>
    <w:tmpl w:val="39F70F37"/>
    <w:lvl w:ilvl="0" w:tentative="0">
      <w:start w:val="1"/>
      <w:numFmt w:val="chineseCounting"/>
      <w:suff w:val="nothing"/>
      <w:lvlText w:val="%1、"/>
      <w:lvlJc w:val="left"/>
      <w:rPr>
        <w:rFonts w:hint="eastAsia"/>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0FE"/>
    <w:rsid w:val="00003DF0"/>
    <w:rsid w:val="00004DDB"/>
    <w:rsid w:val="000165C3"/>
    <w:rsid w:val="00035CC7"/>
    <w:rsid w:val="00053288"/>
    <w:rsid w:val="00071D45"/>
    <w:rsid w:val="00112120"/>
    <w:rsid w:val="001441FE"/>
    <w:rsid w:val="00165DAD"/>
    <w:rsid w:val="0018585E"/>
    <w:rsid w:val="00192E0B"/>
    <w:rsid w:val="001A2D95"/>
    <w:rsid w:val="002219C0"/>
    <w:rsid w:val="00272537"/>
    <w:rsid w:val="00295A02"/>
    <w:rsid w:val="002C5A7E"/>
    <w:rsid w:val="002E0347"/>
    <w:rsid w:val="002F2B5D"/>
    <w:rsid w:val="00316F2D"/>
    <w:rsid w:val="003733DC"/>
    <w:rsid w:val="003900FE"/>
    <w:rsid w:val="003C347D"/>
    <w:rsid w:val="0040398E"/>
    <w:rsid w:val="00406E7A"/>
    <w:rsid w:val="0045626B"/>
    <w:rsid w:val="00463258"/>
    <w:rsid w:val="004C0265"/>
    <w:rsid w:val="004C6281"/>
    <w:rsid w:val="00522473"/>
    <w:rsid w:val="00526728"/>
    <w:rsid w:val="00540D42"/>
    <w:rsid w:val="00581696"/>
    <w:rsid w:val="00591861"/>
    <w:rsid w:val="005D1087"/>
    <w:rsid w:val="005D7211"/>
    <w:rsid w:val="0063666A"/>
    <w:rsid w:val="00651995"/>
    <w:rsid w:val="006818E6"/>
    <w:rsid w:val="006F35FD"/>
    <w:rsid w:val="006F4D43"/>
    <w:rsid w:val="00743BC4"/>
    <w:rsid w:val="007502D5"/>
    <w:rsid w:val="00760698"/>
    <w:rsid w:val="00793E3B"/>
    <w:rsid w:val="007A2A80"/>
    <w:rsid w:val="007C3215"/>
    <w:rsid w:val="007F4DAC"/>
    <w:rsid w:val="00810D6E"/>
    <w:rsid w:val="00857562"/>
    <w:rsid w:val="0086633D"/>
    <w:rsid w:val="00882D2A"/>
    <w:rsid w:val="00896211"/>
    <w:rsid w:val="008A2DFA"/>
    <w:rsid w:val="008C0126"/>
    <w:rsid w:val="008C14E5"/>
    <w:rsid w:val="008D74E7"/>
    <w:rsid w:val="008F744F"/>
    <w:rsid w:val="009037A4"/>
    <w:rsid w:val="009527CB"/>
    <w:rsid w:val="00964F3A"/>
    <w:rsid w:val="00970800"/>
    <w:rsid w:val="0098789E"/>
    <w:rsid w:val="009B3552"/>
    <w:rsid w:val="009B6B5A"/>
    <w:rsid w:val="009C5899"/>
    <w:rsid w:val="00A01298"/>
    <w:rsid w:val="00A70FA1"/>
    <w:rsid w:val="00A87963"/>
    <w:rsid w:val="00AA30DA"/>
    <w:rsid w:val="00AC7CD6"/>
    <w:rsid w:val="00B200A9"/>
    <w:rsid w:val="00B212AB"/>
    <w:rsid w:val="00B21652"/>
    <w:rsid w:val="00BA200D"/>
    <w:rsid w:val="00BA71E1"/>
    <w:rsid w:val="00BD521F"/>
    <w:rsid w:val="00BE3E25"/>
    <w:rsid w:val="00BE5A18"/>
    <w:rsid w:val="00BF296C"/>
    <w:rsid w:val="00C258C7"/>
    <w:rsid w:val="00C54402"/>
    <w:rsid w:val="00C609A0"/>
    <w:rsid w:val="00C874B1"/>
    <w:rsid w:val="00D11FB7"/>
    <w:rsid w:val="00D34405"/>
    <w:rsid w:val="00DA0586"/>
    <w:rsid w:val="00DA5D4F"/>
    <w:rsid w:val="00DB0FDA"/>
    <w:rsid w:val="00DD35AC"/>
    <w:rsid w:val="00DF301D"/>
    <w:rsid w:val="00E04B16"/>
    <w:rsid w:val="00E709CC"/>
    <w:rsid w:val="00EA6660"/>
    <w:rsid w:val="00EB3E90"/>
    <w:rsid w:val="00EE4DAC"/>
    <w:rsid w:val="00EE6CAF"/>
    <w:rsid w:val="00EF7ADC"/>
    <w:rsid w:val="00F105EF"/>
    <w:rsid w:val="00F16D7B"/>
    <w:rsid w:val="00F352E2"/>
    <w:rsid w:val="00F53C84"/>
    <w:rsid w:val="00F65A1A"/>
    <w:rsid w:val="01D50A17"/>
    <w:rsid w:val="026954E1"/>
    <w:rsid w:val="02736A36"/>
    <w:rsid w:val="035166A0"/>
    <w:rsid w:val="052F5C5F"/>
    <w:rsid w:val="062736E9"/>
    <w:rsid w:val="06E635A4"/>
    <w:rsid w:val="08A52FEC"/>
    <w:rsid w:val="092108C3"/>
    <w:rsid w:val="0A5B7E05"/>
    <w:rsid w:val="0A9E2C36"/>
    <w:rsid w:val="0AE34BDE"/>
    <w:rsid w:val="0CF832CA"/>
    <w:rsid w:val="0DE63E89"/>
    <w:rsid w:val="10F20D97"/>
    <w:rsid w:val="12751C80"/>
    <w:rsid w:val="12CF1390"/>
    <w:rsid w:val="13C94031"/>
    <w:rsid w:val="16353C00"/>
    <w:rsid w:val="16922E00"/>
    <w:rsid w:val="173A48D6"/>
    <w:rsid w:val="189F4786"/>
    <w:rsid w:val="19EA6AAF"/>
    <w:rsid w:val="1BE84799"/>
    <w:rsid w:val="1C163B8C"/>
    <w:rsid w:val="1D632E00"/>
    <w:rsid w:val="1F5D7D23"/>
    <w:rsid w:val="208F215E"/>
    <w:rsid w:val="21997739"/>
    <w:rsid w:val="224551CB"/>
    <w:rsid w:val="26B32141"/>
    <w:rsid w:val="27693709"/>
    <w:rsid w:val="29156672"/>
    <w:rsid w:val="29CE5AA6"/>
    <w:rsid w:val="2BC362DB"/>
    <w:rsid w:val="2BD80E5D"/>
    <w:rsid w:val="2C1A1476"/>
    <w:rsid w:val="2D510EC7"/>
    <w:rsid w:val="30322393"/>
    <w:rsid w:val="31D125D7"/>
    <w:rsid w:val="33BB353F"/>
    <w:rsid w:val="33D24C23"/>
    <w:rsid w:val="35BC17F0"/>
    <w:rsid w:val="365077E6"/>
    <w:rsid w:val="366F6862"/>
    <w:rsid w:val="37A12E7B"/>
    <w:rsid w:val="37DE3C9F"/>
    <w:rsid w:val="38DB1F8D"/>
    <w:rsid w:val="3A640D6F"/>
    <w:rsid w:val="3BAF65ED"/>
    <w:rsid w:val="3D6562C9"/>
    <w:rsid w:val="3D902C0C"/>
    <w:rsid w:val="3E587BDC"/>
    <w:rsid w:val="3F1735F3"/>
    <w:rsid w:val="43813959"/>
    <w:rsid w:val="447D6881"/>
    <w:rsid w:val="44FB6637"/>
    <w:rsid w:val="451F4B74"/>
    <w:rsid w:val="47E36768"/>
    <w:rsid w:val="4AD54A8E"/>
    <w:rsid w:val="4D9F33F5"/>
    <w:rsid w:val="52927709"/>
    <w:rsid w:val="532540D9"/>
    <w:rsid w:val="549143ED"/>
    <w:rsid w:val="56187F25"/>
    <w:rsid w:val="5644731C"/>
    <w:rsid w:val="580E15DF"/>
    <w:rsid w:val="594A2634"/>
    <w:rsid w:val="5C9A1694"/>
    <w:rsid w:val="60E5134B"/>
    <w:rsid w:val="60F57EC6"/>
    <w:rsid w:val="62E977D4"/>
    <w:rsid w:val="659A2704"/>
    <w:rsid w:val="67786A75"/>
    <w:rsid w:val="6AB46016"/>
    <w:rsid w:val="6B2A277C"/>
    <w:rsid w:val="708C533F"/>
    <w:rsid w:val="71EC7B88"/>
    <w:rsid w:val="74FA6D1C"/>
    <w:rsid w:val="75BE41ED"/>
    <w:rsid w:val="75E00E1F"/>
    <w:rsid w:val="76634D94"/>
    <w:rsid w:val="77C749B5"/>
    <w:rsid w:val="78760DAF"/>
    <w:rsid w:val="79144124"/>
    <w:rsid w:val="7A924A21"/>
    <w:rsid w:val="7AC34054"/>
    <w:rsid w:val="7DDA593C"/>
    <w:rsid w:val="7EDE7C6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12"/>
    <w:semiHidden/>
    <w:qFormat/>
    <w:uiPriority w:val="99"/>
    <w:pPr>
      <w:tabs>
        <w:tab w:val="center" w:pos="4153"/>
        <w:tab w:val="right" w:pos="8306"/>
      </w:tabs>
      <w:snapToGrid w:val="0"/>
      <w:jc w:val="left"/>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styleId="8">
    <w:name w:val="page number"/>
    <w:basedOn w:val="6"/>
    <w:qFormat/>
    <w:uiPriority w:val="99"/>
    <w:rPr>
      <w:rFonts w:cs="Times New Roman"/>
    </w:rPr>
  </w:style>
  <w:style w:type="paragraph" w:styleId="9">
    <w:name w:val="List Paragraph"/>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批注框文本 Char"/>
    <w:basedOn w:val="6"/>
    <w:link w:val="2"/>
    <w:semiHidden/>
    <w:qFormat/>
    <w:locked/>
    <w:uiPriority w:val="99"/>
    <w:rPr>
      <w:rFonts w:cs="Times New Roman"/>
      <w:sz w:val="18"/>
      <w:szCs w:val="18"/>
    </w:rPr>
  </w:style>
  <w:style w:type="character" w:customStyle="1" w:styleId="11">
    <w:name w:val="页眉 Char"/>
    <w:basedOn w:val="6"/>
    <w:link w:val="4"/>
    <w:semiHidden/>
    <w:qFormat/>
    <w:locked/>
    <w:uiPriority w:val="99"/>
    <w:rPr>
      <w:rFonts w:cs="Times New Roman"/>
      <w:sz w:val="18"/>
      <w:szCs w:val="18"/>
    </w:rPr>
  </w:style>
  <w:style w:type="character" w:customStyle="1" w:styleId="12">
    <w:name w:val="页脚 Char"/>
    <w:basedOn w:val="6"/>
    <w:link w:val="3"/>
    <w:semiHidden/>
    <w:qFormat/>
    <w:locked/>
    <w:uiPriority w:val="99"/>
    <w:rPr>
      <w:rFonts w:cs="Times New Roman"/>
      <w:sz w:val="18"/>
      <w:szCs w:val="18"/>
    </w:rPr>
  </w:style>
  <w:style w:type="paragraph" w:customStyle="1" w:styleId="13">
    <w:name w:val="Default"/>
    <w:qFormat/>
    <w:uiPriority w:val="99"/>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发文字号"/>
    <w:autoRedefine/>
    <w:qFormat/>
    <w:uiPriority w:val="0"/>
    <w:pPr>
      <w:pBdr>
        <w:bottom w:val="single" w:color="FF0000" w:sz="18" w:space="1"/>
      </w:pBdr>
      <w:jc w:val="center"/>
    </w:pPr>
    <w:rPr>
      <w:rFonts w:ascii="Calibri" w:hAnsi="Calibri" w:eastAsia="仿宋" w:cs="Times New Roman"/>
      <w:kern w:val="2"/>
      <w:sz w:val="32"/>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XiTongPan.Com</Company>
  <Pages>8</Pages>
  <Words>3170</Words>
  <Characters>3403</Characters>
  <Lines>20</Lines>
  <Paragraphs>5</Paragraphs>
  <TotalTime>2</TotalTime>
  <ScaleCrop>false</ScaleCrop>
  <LinksUpToDate>false</LinksUpToDate>
  <CharactersWithSpaces>3462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2017-04-23T12:13:00Z</dcterms:created>
  <dc:creator>XiTongPan</dc:creator>
  <cp:lastModifiedBy>melody</cp:lastModifiedBy>
  <cp:lastPrinted>2025-04-22T00:30:00Z</cp:lastPrinted>
  <dcterms:modified xsi:type="dcterms:W3CDTF">2025-05-20T06:28:43Z</dcterms:modified>
  <dc:title>关于下发本科教学工作审核评估自评报告撰写与支撑材料收集基本要求与规范的通知</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665DE9EE108B44E0827F6E69CBE753EB_13</vt:lpwstr>
  </property>
  <property fmtid="{D5CDD505-2E9C-101B-9397-08002B2CF9AE}" pid="4" name="KSOTemplateDocerSaveRecord">
    <vt:lpwstr>eyJoZGlkIjoiOTUyNDY2ZTA0MDNmZjc4NDQzMGY2ODZlYWNjMjQ2ZmIiLCJ1c2VySWQiOiI1NjAxNzA2NDEifQ==</vt:lpwstr>
  </property>
</Properties>
</file>